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outlineLvl w:val="1"/>
        <w:rPr>
          <w:rFonts w:hint="eastAsia" w:ascii="黑体" w:hAnsi="黑体" w:eastAsia="黑体" w:cs="黑体"/>
          <w:sz w:val="32"/>
          <w:szCs w:val="32"/>
        </w:rPr>
      </w:pPr>
      <w:bookmarkStart w:id="0" w:name="_Toc12254"/>
      <w:bookmarkStart w:id="1" w:name="_Toc1084"/>
      <w:bookmarkStart w:id="2" w:name="_Toc22180"/>
      <w:r>
        <w:rPr>
          <w:rFonts w:hint="eastAsia" w:ascii="黑体" w:hAnsi="黑体" w:eastAsia="黑体" w:cs="黑体"/>
          <w:sz w:val="32"/>
          <w:szCs w:val="32"/>
        </w:rPr>
        <w:t>附件2：</w:t>
      </w:r>
      <w:bookmarkEnd w:id="0"/>
      <w:bookmarkEnd w:id="1"/>
      <w:bookmarkEnd w:id="2"/>
    </w:p>
    <w:p>
      <w:pPr>
        <w:spacing w:line="600" w:lineRule="exact"/>
        <w:jc w:val="center"/>
        <w:outlineLvl w:val="1"/>
        <w:rPr>
          <w:rFonts w:ascii="Times New Roman" w:hAnsi="Times New Roman" w:eastAsia="方正小标宋简体"/>
          <w:sz w:val="32"/>
          <w:szCs w:val="32"/>
        </w:rPr>
      </w:pPr>
      <w:bookmarkStart w:id="3" w:name="_Toc30882"/>
      <w:bookmarkStart w:id="4" w:name="_Toc10680"/>
      <w:r>
        <w:rPr>
          <w:rFonts w:hint="eastAsia" w:ascii="Times New Roman" w:hAnsi="Times New Roman" w:eastAsia="方正小标宋简体"/>
          <w:sz w:val="32"/>
          <w:szCs w:val="32"/>
          <w:lang w:eastAsia="zh-CN"/>
        </w:rPr>
        <w:t>商务</w:t>
      </w:r>
      <w:r>
        <w:rPr>
          <w:rFonts w:ascii="Times New Roman" w:hAnsi="Times New Roman" w:eastAsia="方正小标宋简体"/>
          <w:sz w:val="32"/>
          <w:szCs w:val="32"/>
        </w:rPr>
        <w:t>系统省市县三级审批服务事项“三级十同”清单</w:t>
      </w:r>
      <w:bookmarkEnd w:id="3"/>
      <w:bookmarkEnd w:id="4"/>
    </w:p>
    <w:p>
      <w:pPr>
        <w:spacing w:line="600" w:lineRule="exact"/>
        <w:jc w:val="center"/>
        <w:rPr>
          <w:rFonts w:hint="eastAsia" w:ascii="Times New Roman" w:hAnsi="Times New Roman" w:eastAsia="宋体"/>
          <w:sz w:val="24"/>
          <w:lang w:eastAsia="zh-CN"/>
        </w:rPr>
      </w:pPr>
      <w:bookmarkStart w:id="5" w:name="_GoBack"/>
      <w:r>
        <w:rPr>
          <w:rFonts w:hint="eastAsia" w:ascii="Times New Roman" w:hAnsi="Times New Roman" w:eastAsia="仿宋_GB2312"/>
          <w:sz w:val="24"/>
          <w:lang w:eastAsia="zh-CN"/>
        </w:rPr>
        <w:t>成品油零售经营资格初审</w:t>
      </w:r>
    </w:p>
    <w:bookmarkEnd w:id="5"/>
    <w:tbl>
      <w:tblPr>
        <w:tblW w:w="127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130"/>
        <w:gridCol w:w="1273"/>
        <w:gridCol w:w="1087"/>
        <w:gridCol w:w="2378"/>
        <w:gridCol w:w="1422"/>
        <w:gridCol w:w="2705"/>
        <w:gridCol w:w="1283"/>
        <w:gridCol w:w="765"/>
        <w:gridCol w:w="684"/>
      </w:tblGrid>
      <w:tr>
        <w:trPr>
          <w:trHeight w:val="340" w:hRule="atLeast"/>
          <w:tblHeader/>
          <w:jc w:val="center"/>
        </w:trPr>
        <w:tc>
          <w:tcPr>
            <w:tcW w:w="1130" w:type="dxa"/>
            <w:vMerge w:val="restart"/>
            <w:vAlign w:val="center"/>
          </w:tcPr>
          <w:p>
            <w:pPr>
              <w:jc w:val="center"/>
              <w:rPr>
                <w:rFonts w:ascii="Times New Roman" w:hAnsi="Times New Roman" w:eastAsia="黑体"/>
                <w:sz w:val="24"/>
              </w:rPr>
            </w:pPr>
            <w:r>
              <w:rPr>
                <w:rFonts w:ascii="Times New Roman" w:hAnsi="Times New Roman" w:eastAsia="黑体"/>
                <w:sz w:val="24"/>
              </w:rPr>
              <w:t>主项名称</w:t>
            </w:r>
          </w:p>
        </w:tc>
        <w:tc>
          <w:tcPr>
            <w:tcW w:w="1273" w:type="dxa"/>
            <w:vMerge w:val="restart"/>
            <w:vAlign w:val="center"/>
          </w:tcPr>
          <w:p>
            <w:pPr>
              <w:jc w:val="center"/>
              <w:rPr>
                <w:rFonts w:ascii="Times New Roman" w:hAnsi="Times New Roman" w:eastAsia="黑体"/>
                <w:sz w:val="24"/>
              </w:rPr>
            </w:pPr>
            <w:r>
              <w:rPr>
                <w:rFonts w:ascii="Times New Roman" w:hAnsi="Times New Roman" w:eastAsia="黑体"/>
                <w:sz w:val="24"/>
              </w:rPr>
              <w:t>子项名称</w:t>
            </w:r>
          </w:p>
        </w:tc>
        <w:tc>
          <w:tcPr>
            <w:tcW w:w="1087" w:type="dxa"/>
            <w:vMerge w:val="restart"/>
            <w:vAlign w:val="center"/>
          </w:tcPr>
          <w:p>
            <w:pPr>
              <w:jc w:val="center"/>
              <w:rPr>
                <w:rFonts w:ascii="Times New Roman" w:hAnsi="Times New Roman" w:eastAsia="黑体"/>
                <w:sz w:val="24"/>
              </w:rPr>
            </w:pPr>
            <w:r>
              <w:rPr>
                <w:rFonts w:ascii="Times New Roman" w:hAnsi="Times New Roman" w:eastAsia="黑体"/>
                <w:sz w:val="24"/>
              </w:rPr>
              <w:t>事项类型</w:t>
            </w:r>
          </w:p>
        </w:tc>
        <w:tc>
          <w:tcPr>
            <w:tcW w:w="2378" w:type="dxa"/>
            <w:vMerge w:val="restart"/>
            <w:vAlign w:val="center"/>
          </w:tcPr>
          <w:p>
            <w:pPr>
              <w:jc w:val="center"/>
              <w:rPr>
                <w:rFonts w:ascii="Times New Roman" w:hAnsi="Times New Roman" w:eastAsia="黑体"/>
                <w:sz w:val="24"/>
              </w:rPr>
            </w:pPr>
            <w:r>
              <w:rPr>
                <w:rFonts w:ascii="Times New Roman" w:hAnsi="Times New Roman" w:eastAsia="黑体"/>
                <w:sz w:val="24"/>
              </w:rPr>
              <w:t>实施依据</w:t>
            </w:r>
          </w:p>
        </w:tc>
        <w:tc>
          <w:tcPr>
            <w:tcW w:w="5410" w:type="dxa"/>
            <w:gridSpan w:val="3"/>
            <w:vAlign w:val="center"/>
          </w:tcPr>
          <w:p>
            <w:pPr>
              <w:jc w:val="center"/>
              <w:rPr>
                <w:rFonts w:ascii="Times New Roman" w:hAnsi="Times New Roman" w:eastAsia="黑体"/>
                <w:sz w:val="24"/>
              </w:rPr>
            </w:pPr>
            <w:r>
              <w:rPr>
                <w:rFonts w:ascii="Times New Roman" w:hAnsi="Times New Roman" w:eastAsia="黑体"/>
                <w:sz w:val="24"/>
              </w:rPr>
              <w:t>申报材料</w:t>
            </w:r>
          </w:p>
        </w:tc>
        <w:tc>
          <w:tcPr>
            <w:tcW w:w="765" w:type="dxa"/>
            <w:vMerge w:val="restart"/>
            <w:vAlign w:val="center"/>
          </w:tcPr>
          <w:p>
            <w:pPr>
              <w:jc w:val="center"/>
              <w:rPr>
                <w:rFonts w:ascii="Times New Roman" w:hAnsi="Times New Roman" w:eastAsia="黑体"/>
                <w:sz w:val="24"/>
              </w:rPr>
            </w:pPr>
            <w:r>
              <w:rPr>
                <w:rFonts w:ascii="Times New Roman" w:hAnsi="Times New Roman" w:eastAsia="黑体"/>
                <w:sz w:val="24"/>
              </w:rPr>
              <w:t>收费标准</w:t>
            </w:r>
          </w:p>
        </w:tc>
        <w:tc>
          <w:tcPr>
            <w:tcW w:w="684" w:type="dxa"/>
            <w:vMerge w:val="restart"/>
            <w:vAlign w:val="center"/>
          </w:tcPr>
          <w:p>
            <w:pPr>
              <w:jc w:val="center"/>
              <w:rPr>
                <w:rFonts w:ascii="Times New Roman" w:hAnsi="Times New Roman" w:eastAsia="黑体"/>
                <w:sz w:val="24"/>
              </w:rPr>
            </w:pPr>
            <w:r>
              <w:rPr>
                <w:rFonts w:ascii="Times New Roman" w:hAnsi="Times New Roman" w:eastAsia="黑体"/>
                <w:sz w:val="24"/>
              </w:rPr>
              <w:t>承诺时限</w:t>
            </w:r>
          </w:p>
        </w:tc>
      </w:tr>
      <w:tr>
        <w:trPr>
          <w:trHeight w:val="340" w:hRule="atLeast"/>
          <w:tblHeader/>
          <w:jc w:val="center"/>
        </w:trPr>
        <w:tc>
          <w:tcPr>
            <w:tcW w:w="1130" w:type="dxa"/>
            <w:vMerge w:val="continue"/>
            <w:vAlign w:val="center"/>
          </w:tcPr>
          <w:p>
            <w:pPr>
              <w:rPr>
                <w:rFonts w:ascii="Times New Roman" w:hAnsi="Times New Roman"/>
                <w:sz w:val="24"/>
              </w:rPr>
            </w:pPr>
          </w:p>
        </w:tc>
        <w:tc>
          <w:tcPr>
            <w:tcW w:w="1273" w:type="dxa"/>
            <w:vMerge w:val="continue"/>
            <w:vAlign w:val="top"/>
          </w:tcPr>
          <w:p>
            <w:pPr>
              <w:rPr>
                <w:rFonts w:ascii="Times New Roman" w:hAnsi="Times New Roman"/>
                <w:sz w:val="24"/>
              </w:rPr>
            </w:pPr>
          </w:p>
        </w:tc>
        <w:tc>
          <w:tcPr>
            <w:tcW w:w="1087" w:type="dxa"/>
            <w:vMerge w:val="continue"/>
            <w:vAlign w:val="top"/>
          </w:tcPr>
          <w:p>
            <w:pPr>
              <w:rPr>
                <w:rFonts w:ascii="Times New Roman" w:hAnsi="Times New Roman"/>
                <w:sz w:val="24"/>
              </w:rPr>
            </w:pPr>
          </w:p>
        </w:tc>
        <w:tc>
          <w:tcPr>
            <w:tcW w:w="2378" w:type="dxa"/>
            <w:vMerge w:val="continue"/>
            <w:vAlign w:val="top"/>
          </w:tcPr>
          <w:p>
            <w:pPr>
              <w:rPr>
                <w:rFonts w:ascii="Times New Roman" w:hAnsi="Times New Roman"/>
                <w:sz w:val="24"/>
              </w:rPr>
            </w:pPr>
          </w:p>
        </w:tc>
        <w:tc>
          <w:tcPr>
            <w:tcW w:w="1422" w:type="dxa"/>
            <w:vAlign w:val="center"/>
          </w:tcPr>
          <w:p>
            <w:pPr>
              <w:spacing w:line="280" w:lineRule="exact"/>
              <w:jc w:val="center"/>
              <w:rPr>
                <w:rFonts w:ascii="Times New Roman" w:hAnsi="Times New Roman" w:eastAsia="黑体"/>
                <w:sz w:val="24"/>
              </w:rPr>
            </w:pPr>
            <w:r>
              <w:rPr>
                <w:rFonts w:ascii="Times New Roman" w:hAnsi="Times New Roman" w:eastAsia="黑体"/>
                <w:sz w:val="24"/>
              </w:rPr>
              <w:t>材料分类</w:t>
            </w:r>
          </w:p>
        </w:tc>
        <w:tc>
          <w:tcPr>
            <w:tcW w:w="2705" w:type="dxa"/>
            <w:vAlign w:val="center"/>
          </w:tcPr>
          <w:p>
            <w:pPr>
              <w:spacing w:line="280" w:lineRule="exact"/>
              <w:jc w:val="center"/>
              <w:rPr>
                <w:rFonts w:ascii="Times New Roman" w:hAnsi="Times New Roman" w:eastAsia="黑体"/>
                <w:sz w:val="24"/>
              </w:rPr>
            </w:pPr>
            <w:r>
              <w:rPr>
                <w:rFonts w:ascii="Times New Roman" w:hAnsi="Times New Roman" w:eastAsia="黑体"/>
                <w:sz w:val="24"/>
              </w:rPr>
              <w:t>材料名称</w:t>
            </w:r>
          </w:p>
        </w:tc>
        <w:tc>
          <w:tcPr>
            <w:tcW w:w="1283" w:type="dxa"/>
            <w:vAlign w:val="center"/>
          </w:tcPr>
          <w:p>
            <w:pPr>
              <w:spacing w:line="280" w:lineRule="exact"/>
              <w:jc w:val="center"/>
              <w:rPr>
                <w:rFonts w:ascii="Times New Roman" w:hAnsi="Times New Roman" w:eastAsia="黑体"/>
                <w:sz w:val="24"/>
              </w:rPr>
            </w:pPr>
            <w:r>
              <w:rPr>
                <w:rFonts w:ascii="Times New Roman" w:hAnsi="Times New Roman" w:eastAsia="黑体"/>
                <w:sz w:val="24"/>
              </w:rPr>
              <w:t>材料来源</w:t>
            </w:r>
          </w:p>
        </w:tc>
        <w:tc>
          <w:tcPr>
            <w:tcW w:w="765" w:type="dxa"/>
            <w:vMerge w:val="continue"/>
            <w:vAlign w:val="center"/>
          </w:tcPr>
          <w:p>
            <w:pPr>
              <w:spacing w:line="280" w:lineRule="exact"/>
              <w:jc w:val="center"/>
              <w:rPr>
                <w:rFonts w:ascii="Times New Roman" w:hAnsi="Times New Roman" w:eastAsia="黑体"/>
                <w:sz w:val="24"/>
              </w:rPr>
            </w:pPr>
          </w:p>
        </w:tc>
        <w:tc>
          <w:tcPr>
            <w:tcW w:w="684" w:type="dxa"/>
            <w:vMerge w:val="continue"/>
            <w:vAlign w:val="center"/>
          </w:tcPr>
          <w:p>
            <w:pPr>
              <w:spacing w:line="280" w:lineRule="exact"/>
              <w:jc w:val="center"/>
              <w:rPr>
                <w:rFonts w:ascii="Times New Roman" w:hAnsi="Times New Roman" w:eastAsia="黑体"/>
                <w:sz w:val="24"/>
              </w:rPr>
            </w:pPr>
          </w:p>
        </w:tc>
      </w:tr>
      <w:tr>
        <w:trPr>
          <w:trHeight w:val="562" w:hRule="atLeast"/>
          <w:jc w:val="center"/>
        </w:trPr>
        <w:tc>
          <w:tcPr>
            <w:tcW w:w="1130" w:type="dxa"/>
            <w:vMerge w:val="restart"/>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1.</w:t>
            </w:r>
            <w:r>
              <w:rPr>
                <w:rFonts w:hint="eastAsia"/>
              </w:rPr>
              <w:t xml:space="preserve"> </w:t>
            </w:r>
            <w:r>
              <w:rPr>
                <w:rFonts w:hint="eastAsia" w:ascii="Times New Roman" w:hAnsi="Times New Roman" w:eastAsia="仿宋_GB2312"/>
                <w:sz w:val="24"/>
                <w:lang w:eastAsia="zh-CN"/>
              </w:rPr>
              <w:t>成品油零售经营资格初审</w:t>
            </w:r>
          </w:p>
        </w:tc>
        <w:tc>
          <w:tcPr>
            <w:tcW w:w="1273" w:type="dxa"/>
            <w:vMerge w:val="restart"/>
            <w:vAlign w:val="center"/>
          </w:tcPr>
          <w:p>
            <w:pPr>
              <w:spacing w:line="310" w:lineRule="exact"/>
              <w:jc w:val="left"/>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1</w:t>
            </w:r>
            <w:r>
              <w:rPr>
                <w:rFonts w:hint="eastAsia" w:ascii="Times New Roman" w:hAnsi="Times New Roman" w:eastAsia="仿宋_GB2312"/>
                <w:sz w:val="24"/>
                <w:lang w:eastAsia="zh-CN"/>
              </w:rPr>
              <w:t>成品油零售经营资格初审</w:t>
            </w:r>
          </w:p>
        </w:tc>
        <w:tc>
          <w:tcPr>
            <w:tcW w:w="1087" w:type="dxa"/>
            <w:vMerge w:val="restart"/>
            <w:vAlign w:val="center"/>
          </w:tcPr>
          <w:p>
            <w:pPr>
              <w:spacing w:line="310" w:lineRule="exact"/>
              <w:jc w:val="left"/>
              <w:rPr>
                <w:rFonts w:ascii="Times New Roman" w:hAnsi="Times New Roman" w:eastAsia="仿宋_GB2312"/>
                <w:sz w:val="24"/>
              </w:rPr>
            </w:pPr>
            <w:r>
              <w:rPr>
                <w:rFonts w:hint="eastAsia" w:ascii="Times New Roman" w:hAnsi="Times New Roman" w:eastAsia="仿宋_GB2312"/>
                <w:sz w:val="24"/>
              </w:rPr>
              <w:t>其他职权</w:t>
            </w:r>
          </w:p>
        </w:tc>
        <w:tc>
          <w:tcPr>
            <w:tcW w:w="2378" w:type="dxa"/>
            <w:vMerge w:val="restart"/>
            <w:vAlign w:val="center"/>
          </w:tcPr>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"河南省商务厅文件豫商商贸〔2010〕70号河南省贯彻《成品油市场管理办法》实施细则修改意见第三条第二项申请成品油零售经营资格应提交的材料：（一）企业申请文件；</w:t>
            </w: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（三）《河南省加油站建设验收情况表》；</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（四）《成品油零售企业经营资格申请表》</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（五）河南省商务厅规划确认文件；</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（六）国土资源部门核发的土地使用证或土地使用批准文件（仅限高速公路服务区加油站使用）；</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（七）建设用地规划许可证；（城市规划区外，提供村镇规划许可证或村镇规划选址意见书；高速公路服务区加油站提供可行性研究报告批复、初步设计批复）；</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（八）建设工程规划许可证（城市规划区以外，不需要提供；高速公路服务区加油站提供概念设计批复或房屋建筑物设计批复；）</w:t>
            </w:r>
          </w:p>
          <w:p>
            <w:pPr>
              <w:autoSpaceDE w:val="0"/>
              <w:autoSpaceDN w:val="0"/>
              <w:adjustRightInd w:val="0"/>
              <w:jc w:val="left"/>
              <w:rPr>
                <w:rFonts w:ascii="Times New Roman" w:hAnsi="Times New Roman" w:eastAsia="仿宋_GB2312"/>
                <w:sz w:val="24"/>
              </w:rPr>
            </w:pPr>
            <w:r>
              <w:rPr>
                <w:rFonts w:hint="eastAsia" w:ascii="Times New Roman" w:hAnsi="Times New Roman" w:eastAsia="仿宋_GB2312"/>
                <w:sz w:val="24"/>
              </w:rPr>
              <w:t>（九）建筑工程施工许可证（城市规划区以外，提供村镇建筑许可证；投资30万元以下或者建筑面积在300平方米以下的可</w:t>
            </w: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p>
            <w:pPr>
              <w:autoSpaceDE w:val="0"/>
              <w:autoSpaceDN w:val="0"/>
              <w:adjustRightInd w:val="0"/>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1.</w:t>
            </w:r>
            <w:r>
              <w:rPr>
                <w:rFonts w:hint="eastAsia"/>
              </w:rPr>
              <w:t xml:space="preserve"> </w:t>
            </w:r>
            <w:r>
              <w:rPr>
                <w:rFonts w:hint="eastAsia" w:ascii="Times New Roman" w:hAnsi="Times New Roman" w:eastAsia="仿宋_GB2312"/>
                <w:sz w:val="24"/>
              </w:rPr>
              <w:t>各县区商务部门转报申请文件</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Merge w:val="restart"/>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不收费</w:t>
            </w:r>
          </w:p>
        </w:tc>
        <w:tc>
          <w:tcPr>
            <w:tcW w:w="684" w:type="dxa"/>
            <w:vMerge w:val="restart"/>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15</w:t>
            </w:r>
            <w:r>
              <w:rPr>
                <w:rFonts w:ascii="Times New Roman" w:hAnsi="Times New Roman" w:eastAsia="仿宋_GB2312"/>
                <w:sz w:val="24"/>
              </w:rPr>
              <w:t>个工作日</w:t>
            </w:r>
          </w:p>
        </w:tc>
      </w:tr>
      <w:tr>
        <w:trPr>
          <w:trHeight w:val="923" w:hRule="atLeast"/>
          <w:jc w:val="center"/>
        </w:trPr>
        <w:tc>
          <w:tcPr>
            <w:tcW w:w="1130" w:type="dxa"/>
            <w:vMerge w:val="continue"/>
            <w:vAlign w:val="center"/>
          </w:tcPr>
          <w:p>
            <w:pPr>
              <w:spacing w:line="300" w:lineRule="exact"/>
              <w:jc w:val="center"/>
              <w:rPr>
                <w:rFonts w:ascii="Times New Roman" w:hAnsi="Times New Roman" w:eastAsia="仿宋_GB2312"/>
                <w:sz w:val="24"/>
              </w:rPr>
            </w:pPr>
          </w:p>
        </w:tc>
        <w:tc>
          <w:tcPr>
            <w:tcW w:w="1273" w:type="dxa"/>
            <w:vMerge w:val="continue"/>
            <w:vAlign w:val="center"/>
          </w:tcPr>
          <w:p>
            <w:pPr>
              <w:spacing w:line="300" w:lineRule="exact"/>
              <w:jc w:val="center"/>
              <w:rPr>
                <w:rFonts w:ascii="Times New Roman" w:hAnsi="Times New Roman" w:eastAsia="仿宋_GB2312"/>
                <w:sz w:val="24"/>
              </w:rPr>
            </w:pPr>
          </w:p>
        </w:tc>
        <w:tc>
          <w:tcPr>
            <w:tcW w:w="1087" w:type="dxa"/>
            <w:vMerge w:val="continue"/>
            <w:vAlign w:val="center"/>
          </w:tcPr>
          <w:p>
            <w:pPr>
              <w:spacing w:line="310" w:lineRule="exact"/>
              <w:jc w:val="left"/>
              <w:rPr>
                <w:rFonts w:ascii="Times New Roman" w:hAnsi="Times New Roman" w:eastAsia="仿宋_GB2312"/>
                <w:sz w:val="24"/>
              </w:rPr>
            </w:pPr>
          </w:p>
        </w:tc>
        <w:tc>
          <w:tcPr>
            <w:tcW w:w="2378" w:type="dxa"/>
            <w:vMerge w:val="continue"/>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2.</w:t>
            </w:r>
            <w:r>
              <w:rPr>
                <w:rFonts w:hint="eastAsia"/>
              </w:rPr>
              <w:t xml:space="preserve"> </w:t>
            </w:r>
            <w:r>
              <w:rPr>
                <w:rFonts w:hint="eastAsia" w:ascii="Times New Roman" w:hAnsi="Times New Roman" w:eastAsia="仿宋_GB2312"/>
                <w:sz w:val="24"/>
              </w:rPr>
              <w:t>企业申请文件</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Merge w:val="continue"/>
            <w:vAlign w:val="center"/>
          </w:tcPr>
          <w:p>
            <w:pPr>
              <w:spacing w:line="300" w:lineRule="exact"/>
              <w:jc w:val="center"/>
              <w:rPr>
                <w:rFonts w:ascii="Times New Roman" w:hAnsi="Times New Roman"/>
              </w:rPr>
            </w:pPr>
          </w:p>
        </w:tc>
        <w:tc>
          <w:tcPr>
            <w:tcW w:w="684" w:type="dxa"/>
            <w:vMerge w:val="continue"/>
            <w:vAlign w:val="center"/>
          </w:tcPr>
          <w:p>
            <w:pPr>
              <w:spacing w:line="300" w:lineRule="exact"/>
              <w:jc w:val="center"/>
              <w:rPr>
                <w:rFonts w:ascii="Times New Roman" w:hAnsi="Times New Roman"/>
              </w:rPr>
            </w:pPr>
          </w:p>
        </w:tc>
      </w:tr>
      <w:tr>
        <w:trPr>
          <w:trHeight w:val="880" w:hRule="atLeast"/>
          <w:jc w:val="center"/>
        </w:trPr>
        <w:tc>
          <w:tcPr>
            <w:tcW w:w="1130" w:type="dxa"/>
            <w:vMerge w:val="continue"/>
            <w:vAlign w:val="center"/>
          </w:tcPr>
          <w:p>
            <w:pPr>
              <w:spacing w:line="300" w:lineRule="exact"/>
              <w:jc w:val="center"/>
              <w:rPr>
                <w:rFonts w:ascii="Times New Roman" w:hAnsi="Times New Roman" w:eastAsia="仿宋_GB2312"/>
                <w:sz w:val="24"/>
              </w:rPr>
            </w:pPr>
          </w:p>
        </w:tc>
        <w:tc>
          <w:tcPr>
            <w:tcW w:w="1273" w:type="dxa"/>
            <w:vMerge w:val="continue"/>
            <w:vAlign w:val="center"/>
          </w:tcPr>
          <w:p>
            <w:pPr>
              <w:spacing w:line="300" w:lineRule="exact"/>
              <w:jc w:val="center"/>
              <w:rPr>
                <w:rFonts w:ascii="Times New Roman" w:hAnsi="Times New Roman" w:eastAsia="仿宋_GB2312"/>
                <w:sz w:val="24"/>
              </w:rPr>
            </w:pPr>
          </w:p>
        </w:tc>
        <w:tc>
          <w:tcPr>
            <w:tcW w:w="1087" w:type="dxa"/>
            <w:vMerge w:val="continue"/>
            <w:vAlign w:val="center"/>
          </w:tcPr>
          <w:p>
            <w:pPr>
              <w:spacing w:line="310" w:lineRule="exact"/>
              <w:jc w:val="left"/>
              <w:rPr>
                <w:rFonts w:ascii="Times New Roman" w:hAnsi="Times New Roman" w:eastAsia="仿宋_GB2312"/>
                <w:sz w:val="24"/>
              </w:rPr>
            </w:pPr>
          </w:p>
        </w:tc>
        <w:tc>
          <w:tcPr>
            <w:tcW w:w="2378" w:type="dxa"/>
            <w:vMerge w:val="continue"/>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3.</w:t>
            </w:r>
            <w:r>
              <w:rPr>
                <w:rFonts w:hint="eastAsia"/>
              </w:rPr>
              <w:t xml:space="preserve"> </w:t>
            </w:r>
            <w:r>
              <w:rPr>
                <w:rFonts w:hint="eastAsia" w:ascii="Times New Roman" w:hAnsi="Times New Roman" w:eastAsia="仿宋_GB2312"/>
                <w:sz w:val="24"/>
              </w:rPr>
              <w:t>《河南省加油站建设验收情况表》</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Merge w:val="continue"/>
            <w:vAlign w:val="center"/>
          </w:tcPr>
          <w:p>
            <w:pPr>
              <w:spacing w:line="300" w:lineRule="exact"/>
              <w:jc w:val="center"/>
              <w:rPr>
                <w:rFonts w:ascii="Times New Roman" w:hAnsi="Times New Roman"/>
              </w:rPr>
            </w:pPr>
          </w:p>
        </w:tc>
        <w:tc>
          <w:tcPr>
            <w:tcW w:w="684" w:type="dxa"/>
            <w:vMerge w:val="continue"/>
            <w:vAlign w:val="center"/>
          </w:tcPr>
          <w:p>
            <w:pPr>
              <w:spacing w:line="300" w:lineRule="exact"/>
              <w:jc w:val="center"/>
              <w:rPr>
                <w:rFonts w:ascii="Times New Roman" w:hAnsi="Times New Roman"/>
              </w:rPr>
            </w:pPr>
          </w:p>
        </w:tc>
      </w:tr>
      <w:tr>
        <w:trPr>
          <w:trHeight w:val="920" w:hRule="atLeast"/>
          <w:jc w:val="center"/>
        </w:trPr>
        <w:tc>
          <w:tcPr>
            <w:tcW w:w="1130" w:type="dxa"/>
            <w:vMerge w:val="continue"/>
            <w:vAlign w:val="center"/>
          </w:tcPr>
          <w:p>
            <w:pPr>
              <w:spacing w:line="300" w:lineRule="exact"/>
              <w:jc w:val="center"/>
              <w:rPr>
                <w:rFonts w:ascii="Times New Roman" w:hAnsi="Times New Roman" w:eastAsia="仿宋_GB2312"/>
                <w:sz w:val="24"/>
              </w:rPr>
            </w:pPr>
          </w:p>
        </w:tc>
        <w:tc>
          <w:tcPr>
            <w:tcW w:w="1273" w:type="dxa"/>
            <w:vMerge w:val="continue"/>
            <w:vAlign w:val="center"/>
          </w:tcPr>
          <w:p>
            <w:pPr>
              <w:spacing w:line="300" w:lineRule="exact"/>
              <w:jc w:val="center"/>
              <w:rPr>
                <w:rFonts w:ascii="Times New Roman" w:hAnsi="Times New Roman" w:eastAsia="仿宋_GB2312"/>
                <w:sz w:val="24"/>
              </w:rPr>
            </w:pPr>
          </w:p>
        </w:tc>
        <w:tc>
          <w:tcPr>
            <w:tcW w:w="1087" w:type="dxa"/>
            <w:vMerge w:val="continue"/>
            <w:vAlign w:val="center"/>
          </w:tcPr>
          <w:p>
            <w:pPr>
              <w:spacing w:line="310" w:lineRule="exact"/>
              <w:jc w:val="left"/>
              <w:rPr>
                <w:rFonts w:ascii="Times New Roman" w:hAnsi="Times New Roman" w:eastAsia="仿宋_GB2312"/>
                <w:sz w:val="24"/>
              </w:rPr>
            </w:pPr>
          </w:p>
        </w:tc>
        <w:tc>
          <w:tcPr>
            <w:tcW w:w="2378" w:type="dxa"/>
            <w:vMerge w:val="continue"/>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4.</w:t>
            </w:r>
            <w:r>
              <w:rPr>
                <w:rFonts w:hint="eastAsia"/>
              </w:rPr>
              <w:t xml:space="preserve"> </w:t>
            </w:r>
            <w:r>
              <w:rPr>
                <w:rFonts w:hint="eastAsia" w:ascii="Times New Roman" w:hAnsi="Times New Roman" w:eastAsia="仿宋_GB2312"/>
                <w:sz w:val="24"/>
              </w:rPr>
              <w:t>填写《成品油零售企业经营资格申请表》</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Merge w:val="continue"/>
            <w:vAlign w:val="center"/>
          </w:tcPr>
          <w:p>
            <w:pPr>
              <w:spacing w:line="300" w:lineRule="exact"/>
              <w:jc w:val="center"/>
              <w:rPr>
                <w:rFonts w:ascii="Times New Roman" w:hAnsi="Times New Roman"/>
              </w:rPr>
            </w:pPr>
          </w:p>
        </w:tc>
        <w:tc>
          <w:tcPr>
            <w:tcW w:w="684" w:type="dxa"/>
            <w:vMerge w:val="continue"/>
            <w:vAlign w:val="center"/>
          </w:tcPr>
          <w:p>
            <w:pPr>
              <w:spacing w:line="300" w:lineRule="exact"/>
              <w:jc w:val="center"/>
              <w:rPr>
                <w:rFonts w:ascii="Times New Roman" w:hAnsi="Times New Roman"/>
              </w:rPr>
            </w:pPr>
          </w:p>
        </w:tc>
      </w:tr>
      <w:tr>
        <w:trPr>
          <w:trHeight w:val="1038" w:hRule="atLeast"/>
          <w:jc w:val="center"/>
        </w:trPr>
        <w:tc>
          <w:tcPr>
            <w:tcW w:w="1130" w:type="dxa"/>
            <w:vMerge w:val="continue"/>
            <w:vAlign w:val="center"/>
          </w:tcPr>
          <w:p>
            <w:pPr>
              <w:spacing w:line="300" w:lineRule="exact"/>
              <w:jc w:val="center"/>
              <w:rPr>
                <w:rFonts w:ascii="Times New Roman" w:hAnsi="Times New Roman" w:eastAsia="仿宋_GB2312"/>
                <w:sz w:val="24"/>
              </w:rPr>
            </w:pPr>
          </w:p>
        </w:tc>
        <w:tc>
          <w:tcPr>
            <w:tcW w:w="1273" w:type="dxa"/>
            <w:vMerge w:val="continue"/>
            <w:vAlign w:val="center"/>
          </w:tcPr>
          <w:p>
            <w:pPr>
              <w:spacing w:line="300" w:lineRule="exact"/>
              <w:jc w:val="center"/>
              <w:rPr>
                <w:rFonts w:ascii="Times New Roman" w:hAnsi="Times New Roman" w:eastAsia="仿宋_GB2312"/>
                <w:sz w:val="24"/>
              </w:rPr>
            </w:pPr>
          </w:p>
        </w:tc>
        <w:tc>
          <w:tcPr>
            <w:tcW w:w="1087" w:type="dxa"/>
            <w:vMerge w:val="continue"/>
            <w:vAlign w:val="center"/>
          </w:tcPr>
          <w:p>
            <w:pPr>
              <w:spacing w:line="310" w:lineRule="exact"/>
              <w:jc w:val="left"/>
              <w:rPr>
                <w:rFonts w:ascii="Times New Roman" w:hAnsi="Times New Roman" w:eastAsia="仿宋_GB2312"/>
                <w:sz w:val="24"/>
              </w:rPr>
            </w:pPr>
          </w:p>
        </w:tc>
        <w:tc>
          <w:tcPr>
            <w:tcW w:w="2378" w:type="dxa"/>
            <w:vMerge w:val="continue"/>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5.</w:t>
            </w:r>
            <w:r>
              <w:rPr>
                <w:rFonts w:hint="eastAsia"/>
              </w:rPr>
              <w:t xml:space="preserve"> </w:t>
            </w:r>
            <w:r>
              <w:rPr>
                <w:rFonts w:hint="eastAsia" w:ascii="Times New Roman" w:hAnsi="Times New Roman" w:eastAsia="仿宋_GB2312"/>
                <w:sz w:val="24"/>
              </w:rPr>
              <w:t>河南省商务厅规划确认文件</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Merge w:val="continue"/>
            <w:vAlign w:val="center"/>
          </w:tcPr>
          <w:p>
            <w:pPr>
              <w:spacing w:line="300" w:lineRule="exact"/>
              <w:jc w:val="center"/>
              <w:rPr>
                <w:rFonts w:ascii="Times New Roman" w:hAnsi="Times New Roman"/>
              </w:rPr>
            </w:pPr>
          </w:p>
        </w:tc>
        <w:tc>
          <w:tcPr>
            <w:tcW w:w="684" w:type="dxa"/>
            <w:vMerge w:val="continue"/>
            <w:vAlign w:val="center"/>
          </w:tcPr>
          <w:p>
            <w:pPr>
              <w:spacing w:line="300" w:lineRule="exact"/>
              <w:jc w:val="center"/>
              <w:rPr>
                <w:rFonts w:ascii="Times New Roman" w:hAnsi="Times New Roman"/>
              </w:rPr>
            </w:pPr>
          </w:p>
        </w:tc>
      </w:tr>
      <w:tr>
        <w:trPr>
          <w:trHeight w:val="1038" w:hRule="atLeast"/>
          <w:jc w:val="center"/>
        </w:trPr>
        <w:tc>
          <w:tcPr>
            <w:tcW w:w="1130" w:type="dxa"/>
            <w:vMerge w:val="continue"/>
            <w:vAlign w:val="center"/>
          </w:tcPr>
          <w:p>
            <w:pPr>
              <w:spacing w:line="310" w:lineRule="exact"/>
              <w:jc w:val="left"/>
              <w:rPr>
                <w:rFonts w:ascii="Times New Roman" w:hAnsi="Times New Roman" w:eastAsia="仿宋_GB2312"/>
                <w:sz w:val="24"/>
              </w:rPr>
            </w:pPr>
          </w:p>
        </w:tc>
        <w:tc>
          <w:tcPr>
            <w:tcW w:w="1273" w:type="dxa"/>
            <w:vMerge w:val="continue"/>
            <w:vAlign w:val="center"/>
          </w:tcPr>
          <w:p>
            <w:pPr>
              <w:spacing w:line="310" w:lineRule="exact"/>
              <w:jc w:val="left"/>
              <w:rPr>
                <w:rFonts w:ascii="Times New Roman" w:hAnsi="Times New Roman" w:eastAsia="仿宋_GB2312"/>
                <w:sz w:val="24"/>
              </w:rPr>
            </w:pPr>
          </w:p>
        </w:tc>
        <w:tc>
          <w:tcPr>
            <w:tcW w:w="1087" w:type="dxa"/>
            <w:vMerge w:val="continue"/>
            <w:vAlign w:val="center"/>
          </w:tcPr>
          <w:p>
            <w:pPr>
              <w:spacing w:line="310" w:lineRule="exact"/>
              <w:jc w:val="left"/>
              <w:rPr>
                <w:rFonts w:ascii="Times New Roman" w:hAnsi="Times New Roman" w:eastAsia="仿宋_GB2312"/>
                <w:sz w:val="24"/>
              </w:rPr>
            </w:pPr>
          </w:p>
        </w:tc>
        <w:tc>
          <w:tcPr>
            <w:tcW w:w="2378" w:type="dxa"/>
            <w:vMerge w:val="continue"/>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6.</w:t>
            </w:r>
            <w:r>
              <w:rPr>
                <w:rFonts w:hint="eastAsia"/>
              </w:rPr>
              <w:t xml:space="preserve"> </w:t>
            </w:r>
            <w:r>
              <w:rPr>
                <w:rFonts w:hint="eastAsia" w:ascii="Times New Roman" w:hAnsi="Times New Roman" w:eastAsia="仿宋_GB2312"/>
                <w:sz w:val="24"/>
              </w:rPr>
              <w:t>国土资源部门核发的土地使用证或土地使用批准文件（仅限高速公路服务区加油站使用）</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Merge w:val="continue"/>
            <w:vAlign w:val="center"/>
          </w:tcPr>
          <w:p>
            <w:pPr>
              <w:spacing w:line="310" w:lineRule="exact"/>
              <w:jc w:val="left"/>
              <w:rPr>
                <w:rFonts w:ascii="Times New Roman" w:hAnsi="Times New Roman"/>
              </w:rPr>
            </w:pPr>
          </w:p>
        </w:tc>
        <w:tc>
          <w:tcPr>
            <w:tcW w:w="684" w:type="dxa"/>
            <w:vMerge w:val="continue"/>
            <w:vAlign w:val="center"/>
          </w:tcPr>
          <w:p>
            <w:pPr>
              <w:spacing w:line="310" w:lineRule="exact"/>
              <w:jc w:val="left"/>
              <w:rPr>
                <w:rFonts w:ascii="Times New Roman" w:hAnsi="Times New Roman"/>
              </w:rPr>
            </w:pPr>
          </w:p>
        </w:tc>
      </w:tr>
      <w:tr>
        <w:trPr>
          <w:trHeight w:val="1038" w:hRule="atLeast"/>
          <w:jc w:val="center"/>
        </w:trPr>
        <w:tc>
          <w:tcPr>
            <w:tcW w:w="1130" w:type="dxa"/>
            <w:vMerge w:val="continue"/>
            <w:vAlign w:val="center"/>
          </w:tcPr>
          <w:p>
            <w:pPr>
              <w:spacing w:line="310" w:lineRule="exact"/>
              <w:jc w:val="left"/>
              <w:rPr>
                <w:rFonts w:ascii="Times New Roman" w:hAnsi="Times New Roman" w:eastAsia="仿宋_GB2312"/>
                <w:sz w:val="24"/>
              </w:rPr>
            </w:pPr>
          </w:p>
        </w:tc>
        <w:tc>
          <w:tcPr>
            <w:tcW w:w="1273" w:type="dxa"/>
            <w:vMerge w:val="continue"/>
            <w:vAlign w:val="center"/>
          </w:tcPr>
          <w:p>
            <w:pPr>
              <w:spacing w:line="310" w:lineRule="exact"/>
              <w:jc w:val="left"/>
              <w:rPr>
                <w:rFonts w:ascii="Times New Roman" w:hAnsi="Times New Roman" w:eastAsia="仿宋_GB2312"/>
                <w:sz w:val="24"/>
              </w:rPr>
            </w:pPr>
          </w:p>
        </w:tc>
        <w:tc>
          <w:tcPr>
            <w:tcW w:w="1087" w:type="dxa"/>
            <w:vMerge w:val="continue"/>
            <w:vAlign w:val="center"/>
          </w:tcPr>
          <w:p>
            <w:pPr>
              <w:spacing w:line="310" w:lineRule="exact"/>
              <w:jc w:val="left"/>
              <w:rPr>
                <w:rFonts w:ascii="Times New Roman" w:hAnsi="Times New Roman" w:eastAsia="仿宋_GB2312"/>
                <w:sz w:val="24"/>
              </w:rPr>
            </w:pPr>
          </w:p>
        </w:tc>
        <w:tc>
          <w:tcPr>
            <w:tcW w:w="2378" w:type="dxa"/>
            <w:vMerge w:val="continue"/>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7.</w:t>
            </w:r>
            <w:r>
              <w:rPr>
                <w:rFonts w:hint="eastAsia"/>
              </w:rPr>
              <w:t xml:space="preserve"> </w:t>
            </w:r>
            <w:r>
              <w:rPr>
                <w:rFonts w:hint="eastAsia" w:ascii="Times New Roman" w:hAnsi="Times New Roman" w:eastAsia="仿宋_GB2312"/>
                <w:sz w:val="24"/>
              </w:rPr>
              <w:t>建设用地规划许可证；（城市规划区外，提供村镇规划许可证或村镇规划选址意见书；高速公路服务区加油站提供可行性研究报告批复、初步设计批复）</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Merge w:val="continue"/>
            <w:vAlign w:val="center"/>
          </w:tcPr>
          <w:p>
            <w:pPr>
              <w:spacing w:line="310" w:lineRule="exact"/>
              <w:jc w:val="left"/>
              <w:rPr>
                <w:rFonts w:ascii="Times New Roman" w:hAnsi="Times New Roman"/>
              </w:rPr>
            </w:pPr>
          </w:p>
        </w:tc>
        <w:tc>
          <w:tcPr>
            <w:tcW w:w="684" w:type="dxa"/>
            <w:vMerge w:val="continue"/>
            <w:vAlign w:val="center"/>
          </w:tcPr>
          <w:p>
            <w:pPr>
              <w:spacing w:line="310" w:lineRule="exact"/>
              <w:jc w:val="left"/>
              <w:rPr>
                <w:rFonts w:ascii="Times New Roman" w:hAnsi="Times New Roman"/>
              </w:rPr>
            </w:pPr>
          </w:p>
        </w:tc>
      </w:tr>
      <w:tr>
        <w:trPr>
          <w:trHeight w:val="2970" w:hRule="atLeast"/>
          <w:jc w:val="center"/>
        </w:trPr>
        <w:tc>
          <w:tcPr>
            <w:tcW w:w="1130" w:type="dxa"/>
            <w:vMerge w:val="continue"/>
            <w:vAlign w:val="center"/>
          </w:tcPr>
          <w:p>
            <w:pPr>
              <w:spacing w:line="310" w:lineRule="exact"/>
              <w:jc w:val="left"/>
              <w:rPr>
                <w:rFonts w:ascii="Times New Roman" w:hAnsi="Times New Roman" w:eastAsia="仿宋_GB2312"/>
                <w:sz w:val="24"/>
              </w:rPr>
            </w:pPr>
          </w:p>
        </w:tc>
        <w:tc>
          <w:tcPr>
            <w:tcW w:w="1273" w:type="dxa"/>
            <w:vMerge w:val="continue"/>
            <w:vAlign w:val="center"/>
          </w:tcPr>
          <w:p>
            <w:pPr>
              <w:spacing w:line="310" w:lineRule="exact"/>
              <w:jc w:val="left"/>
              <w:rPr>
                <w:rFonts w:ascii="Times New Roman" w:hAnsi="Times New Roman" w:eastAsia="仿宋_GB2312"/>
                <w:sz w:val="24"/>
              </w:rPr>
            </w:pPr>
          </w:p>
        </w:tc>
        <w:tc>
          <w:tcPr>
            <w:tcW w:w="1087" w:type="dxa"/>
            <w:vMerge w:val="continue"/>
            <w:vAlign w:val="center"/>
          </w:tcPr>
          <w:p>
            <w:pPr>
              <w:spacing w:line="310" w:lineRule="exact"/>
              <w:jc w:val="left"/>
              <w:rPr>
                <w:rFonts w:ascii="Times New Roman" w:hAnsi="Times New Roman" w:eastAsia="仿宋_GB2312"/>
                <w:sz w:val="24"/>
              </w:rPr>
            </w:pPr>
          </w:p>
        </w:tc>
        <w:tc>
          <w:tcPr>
            <w:tcW w:w="2378" w:type="dxa"/>
            <w:vMerge w:val="continue"/>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ascii="Times New Roman" w:hAnsi="Times New Roman" w:eastAsia="仿宋_GB2312"/>
                <w:sz w:val="24"/>
              </w:rPr>
              <w:t>8.</w:t>
            </w:r>
            <w:r>
              <w:rPr>
                <w:rFonts w:hint="eastAsia"/>
              </w:rPr>
              <w:t xml:space="preserve"> </w:t>
            </w:r>
            <w:r>
              <w:rPr>
                <w:rFonts w:hint="eastAsia" w:ascii="Times New Roman" w:hAnsi="Times New Roman" w:eastAsia="仿宋_GB2312"/>
                <w:sz w:val="24"/>
              </w:rPr>
              <w:t>建设工程规划许可证（城市规划区以外，不需要提供；高速公路服务区加油站提供概念设计批复或房屋建筑物设计批复)</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Merge w:val="continue"/>
            <w:vAlign w:val="center"/>
          </w:tcPr>
          <w:p>
            <w:pPr>
              <w:spacing w:line="310" w:lineRule="exact"/>
              <w:jc w:val="left"/>
              <w:rPr>
                <w:rFonts w:ascii="Times New Roman" w:hAnsi="Times New Roman"/>
              </w:rPr>
            </w:pPr>
          </w:p>
        </w:tc>
        <w:tc>
          <w:tcPr>
            <w:tcW w:w="684" w:type="dxa"/>
            <w:vMerge w:val="continue"/>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p>
            <w:pPr>
              <w:spacing w:line="310" w:lineRule="exact"/>
              <w:jc w:val="left"/>
              <w:rPr>
                <w:rFonts w:hint="eastAsia" w:ascii="Times New Roman" w:hAnsi="Times New Roman" w:eastAsia="仿宋_GB2312"/>
                <w:sz w:val="24"/>
              </w:rPr>
            </w:pPr>
          </w:p>
          <w:p>
            <w:pPr>
              <w:spacing w:line="310" w:lineRule="exact"/>
              <w:jc w:val="left"/>
              <w:rPr>
                <w:rFonts w:hint="eastAsia" w:ascii="Times New Roman" w:hAnsi="Times New Roman" w:eastAsia="仿宋_GB2312"/>
                <w:sz w:val="24"/>
              </w:rPr>
            </w:pPr>
          </w:p>
          <w:p>
            <w:pPr>
              <w:spacing w:line="310" w:lineRule="exact"/>
              <w:jc w:val="left"/>
              <w:rPr>
                <w:rFonts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以不提供此证；高速公路服务区加油站提供交通厅开工令或开工报告批复）；</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（十）建筑工程消防验收意见书；</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（十一）《危险化学品经营许可证》；</w:t>
            </w:r>
          </w:p>
          <w:p>
            <w:pPr>
              <w:autoSpaceDE w:val="0"/>
              <w:autoSpaceDN w:val="0"/>
              <w:adjustRightInd w:val="0"/>
              <w:jc w:val="left"/>
              <w:rPr>
                <w:rFonts w:hint="eastAsia" w:ascii="Times New Roman" w:hAnsi="Times New Roman" w:eastAsia="仿宋_GB2312"/>
                <w:sz w:val="24"/>
              </w:rPr>
            </w:pPr>
            <w:r>
              <w:rPr>
                <w:rFonts w:hint="eastAsia" w:ascii="Times New Roman" w:hAnsi="Times New Roman" w:eastAsia="仿宋_GB2312"/>
                <w:sz w:val="24"/>
              </w:rPr>
              <w:t>（十二）环境保护评估登记表；</w:t>
            </w:r>
          </w:p>
          <w:p>
            <w:pPr>
              <w:spacing w:line="310" w:lineRule="exact"/>
              <w:jc w:val="left"/>
              <w:rPr>
                <w:rFonts w:ascii="Times New Roman" w:hAnsi="Times New Roman" w:eastAsia="仿宋_GB2312"/>
                <w:sz w:val="24"/>
              </w:rPr>
            </w:pPr>
            <w:r>
              <w:rPr>
                <w:rFonts w:hint="eastAsia" w:ascii="Times New Roman" w:hAnsi="Times New Roman" w:eastAsia="仿宋_GB2312"/>
                <w:sz w:val="24"/>
              </w:rPr>
              <w:t>（十三）加油机计量鉴定证书或出厂合格</w:t>
            </w: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9.建筑工程施工许可证（城市规划区以外，提供村镇建筑许可证；投资30万元以下或者建筑面积在300平方米以下的可以不提供此证；高速公路服务区加油站提供交通厅开工令或开工报告批复）</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spacing w:line="310" w:lineRule="exact"/>
              <w:jc w:val="left"/>
              <w:rPr>
                <w:rFonts w:hint="eastAsia" w:ascii="Times New Roman" w:hAnsi="Times New Roman" w:eastAsia="仿宋_GB2312"/>
                <w:sz w:val="24"/>
              </w:rPr>
            </w:pPr>
            <w:r>
              <w:rPr>
                <w:rFonts w:hint="eastAsia" w:ascii="Times New Roman" w:hAnsi="Times New Roman" w:eastAsia="仿宋_GB2312"/>
                <w:sz w:val="24"/>
              </w:rPr>
              <w:t>证书；</w:t>
            </w:r>
          </w:p>
          <w:p>
            <w:pPr>
              <w:spacing w:line="310" w:lineRule="exact"/>
              <w:jc w:val="left"/>
              <w:rPr>
                <w:rFonts w:hint="eastAsia" w:ascii="Times New Roman" w:hAnsi="Times New Roman" w:eastAsia="仿宋_GB2312"/>
                <w:sz w:val="24"/>
              </w:rPr>
            </w:pPr>
            <w:r>
              <w:rPr>
                <w:rFonts w:hint="eastAsia" w:ascii="Times New Roman" w:hAnsi="Times New Roman" w:eastAsia="仿宋_GB2312"/>
                <w:sz w:val="24"/>
              </w:rPr>
              <w:t>（十四）防雷防静电装置安全检测证或检测报告；</w:t>
            </w:r>
          </w:p>
          <w:p>
            <w:pPr>
              <w:spacing w:line="310" w:lineRule="exact"/>
              <w:jc w:val="left"/>
              <w:rPr>
                <w:rFonts w:ascii="Times New Roman" w:hAnsi="Times New Roman" w:eastAsia="仿宋_GB2312"/>
                <w:sz w:val="24"/>
              </w:rPr>
            </w:pPr>
            <w:r>
              <w:rPr>
                <w:rFonts w:ascii="Times New Roman" w:hAnsi="Times New Roman" w:eastAsia="仿宋_GB2312"/>
                <w:sz w:val="24"/>
              </w:rPr>
              <w:t>"</w:t>
            </w: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10.</w:t>
            </w:r>
            <w:r>
              <w:rPr>
                <w:rFonts w:hint="eastAsia"/>
              </w:rPr>
              <w:t xml:space="preserve"> </w:t>
            </w:r>
            <w:r>
              <w:rPr>
                <w:rFonts w:hint="eastAsia" w:ascii="Times New Roman" w:hAnsi="Times New Roman" w:eastAsia="仿宋_GB2312"/>
                <w:sz w:val="24"/>
              </w:rPr>
              <w:t>建筑工程消防验收意见书</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hint="eastAsia" w:ascii="Times New Roman" w:hAnsi="Times New Roman" w:eastAsia="仿宋_GB2312"/>
                <w:sz w:val="24"/>
              </w:rPr>
            </w:pPr>
            <w:r>
              <w:rPr>
                <w:rFonts w:hint="eastAsia" w:ascii="Times New Roman" w:hAnsi="Times New Roman" w:eastAsia="仿宋_GB2312"/>
                <w:sz w:val="24"/>
              </w:rPr>
              <w:t>11.</w:t>
            </w:r>
            <w:r>
              <w:rPr>
                <w:rFonts w:hint="eastAsia"/>
              </w:rPr>
              <w:t xml:space="preserve"> </w:t>
            </w:r>
            <w:r>
              <w:rPr>
                <w:rFonts w:hint="eastAsia" w:ascii="Times New Roman" w:hAnsi="Times New Roman" w:eastAsia="仿宋_GB2312"/>
                <w:sz w:val="24"/>
              </w:rPr>
              <w:t>《危险化学品经营许可证》</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hint="eastAsia" w:ascii="Times New Roman" w:hAnsi="Times New Roman" w:eastAsia="仿宋_GB2312"/>
                <w:sz w:val="24"/>
              </w:rPr>
            </w:pPr>
            <w:r>
              <w:rPr>
                <w:rFonts w:hint="eastAsia" w:ascii="Times New Roman" w:hAnsi="Times New Roman" w:eastAsia="仿宋_GB2312"/>
                <w:sz w:val="24"/>
              </w:rPr>
              <w:t>12.</w:t>
            </w:r>
            <w:r>
              <w:rPr>
                <w:rFonts w:hint="eastAsia"/>
              </w:rPr>
              <w:t xml:space="preserve"> </w:t>
            </w:r>
            <w:r>
              <w:rPr>
                <w:rFonts w:hint="eastAsia" w:ascii="Times New Roman" w:hAnsi="Times New Roman" w:eastAsia="仿宋_GB2312"/>
                <w:sz w:val="24"/>
              </w:rPr>
              <w:t>环境保护评估登记表</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政府部门核发</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hint="eastAsia" w:ascii="Times New Roman" w:hAnsi="Times New Roman" w:eastAsia="仿宋_GB2312"/>
                <w:sz w:val="24"/>
              </w:rPr>
            </w:pPr>
            <w:r>
              <w:rPr>
                <w:rFonts w:hint="eastAsia" w:ascii="Times New Roman" w:hAnsi="Times New Roman" w:eastAsia="仿宋_GB2312"/>
                <w:sz w:val="24"/>
              </w:rPr>
              <w:t>13.</w:t>
            </w:r>
            <w:r>
              <w:rPr>
                <w:rFonts w:hint="eastAsia"/>
              </w:rPr>
              <w:t xml:space="preserve"> </w:t>
            </w:r>
            <w:r>
              <w:rPr>
                <w:rFonts w:hint="eastAsia" w:ascii="Times New Roman" w:hAnsi="Times New Roman" w:eastAsia="仿宋_GB2312"/>
                <w:sz w:val="24"/>
              </w:rPr>
              <w:t>加油机计量鉴定证书或出厂合格证书</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hint="eastAsia" w:ascii="Times New Roman" w:hAnsi="Times New Roman" w:eastAsia="仿宋_GB2312"/>
                <w:sz w:val="24"/>
              </w:rPr>
            </w:pPr>
            <w:r>
              <w:rPr>
                <w:rFonts w:hint="eastAsia" w:ascii="Times New Roman" w:hAnsi="Times New Roman" w:eastAsia="仿宋_GB2312"/>
                <w:sz w:val="24"/>
              </w:rPr>
              <w:t>14.</w:t>
            </w:r>
            <w:r>
              <w:rPr>
                <w:rFonts w:hint="eastAsia"/>
              </w:rPr>
              <w:t xml:space="preserve"> </w:t>
            </w:r>
            <w:r>
              <w:rPr>
                <w:rFonts w:hint="eastAsia" w:ascii="Times New Roman" w:hAnsi="Times New Roman" w:eastAsia="仿宋_GB2312"/>
                <w:sz w:val="24"/>
              </w:rPr>
              <w:t>防雷防静电装置安全检测证或检测报告</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hint="eastAsia" w:ascii="Times New Roman" w:hAnsi="Times New Roman" w:eastAsia="仿宋_GB2312"/>
                <w:sz w:val="24"/>
              </w:rPr>
            </w:pPr>
            <w:r>
              <w:rPr>
                <w:rFonts w:hint="eastAsia" w:ascii="Times New Roman" w:hAnsi="Times New Roman" w:eastAsia="仿宋_GB2312"/>
                <w:sz w:val="24"/>
              </w:rPr>
              <w:t>15.</w:t>
            </w:r>
            <w:r>
              <w:rPr>
                <w:rFonts w:hint="eastAsia"/>
              </w:rPr>
              <w:t xml:space="preserve"> </w:t>
            </w:r>
            <w:r>
              <w:rPr>
                <w:rFonts w:hint="eastAsia" w:ascii="Times New Roman" w:hAnsi="Times New Roman" w:eastAsia="仿宋_GB2312"/>
                <w:sz w:val="24"/>
              </w:rPr>
              <w:t>成品油计量、消防、安全生产等专业技术人员的资格证明</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r>
        <w:trPr>
          <w:trHeight w:val="2970" w:hRule="atLeast"/>
          <w:jc w:val="center"/>
        </w:trPr>
        <w:tc>
          <w:tcPr>
            <w:tcW w:w="1130" w:type="dxa"/>
            <w:vAlign w:val="center"/>
          </w:tcPr>
          <w:p>
            <w:pPr>
              <w:spacing w:line="310" w:lineRule="exact"/>
              <w:jc w:val="left"/>
              <w:rPr>
                <w:rFonts w:hint="eastAsia" w:ascii="Times New Roman" w:hAnsi="Times New Roman" w:eastAsia="仿宋_GB2312"/>
                <w:sz w:val="24"/>
              </w:rPr>
            </w:pPr>
          </w:p>
        </w:tc>
        <w:tc>
          <w:tcPr>
            <w:tcW w:w="1273" w:type="dxa"/>
            <w:vAlign w:val="center"/>
          </w:tcPr>
          <w:p>
            <w:pPr>
              <w:spacing w:line="310" w:lineRule="exact"/>
              <w:jc w:val="left"/>
              <w:rPr>
                <w:rFonts w:ascii="Times New Roman" w:hAnsi="Times New Roman" w:eastAsia="仿宋_GB2312"/>
                <w:sz w:val="24"/>
              </w:rPr>
            </w:pPr>
          </w:p>
        </w:tc>
        <w:tc>
          <w:tcPr>
            <w:tcW w:w="1087" w:type="dxa"/>
            <w:vAlign w:val="center"/>
          </w:tcPr>
          <w:p>
            <w:pPr>
              <w:spacing w:line="310" w:lineRule="exact"/>
              <w:jc w:val="left"/>
              <w:rPr>
                <w:rFonts w:ascii="Times New Roman" w:hAnsi="Times New Roman" w:eastAsia="仿宋_GB2312"/>
                <w:sz w:val="24"/>
              </w:rPr>
            </w:pPr>
          </w:p>
        </w:tc>
        <w:tc>
          <w:tcPr>
            <w:tcW w:w="2378" w:type="dxa"/>
            <w:vAlign w:val="center"/>
          </w:tcPr>
          <w:p>
            <w:pPr>
              <w:spacing w:line="310" w:lineRule="exact"/>
              <w:jc w:val="left"/>
              <w:rPr>
                <w:rFonts w:ascii="Times New Roman" w:hAnsi="Times New Roman" w:eastAsia="仿宋_GB2312"/>
                <w:sz w:val="24"/>
              </w:rPr>
            </w:pPr>
          </w:p>
        </w:tc>
        <w:tc>
          <w:tcPr>
            <w:tcW w:w="1422"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成品油零售经营资格许可初审申请材料</w:t>
            </w:r>
          </w:p>
        </w:tc>
        <w:tc>
          <w:tcPr>
            <w:tcW w:w="2705" w:type="dxa"/>
            <w:vAlign w:val="center"/>
          </w:tcPr>
          <w:p>
            <w:pPr>
              <w:widowControl/>
              <w:spacing w:line="375" w:lineRule="atLeast"/>
              <w:jc w:val="left"/>
              <w:rPr>
                <w:rFonts w:hint="eastAsia" w:ascii="Times New Roman" w:hAnsi="Times New Roman" w:eastAsia="仿宋_GB2312"/>
                <w:sz w:val="24"/>
              </w:rPr>
            </w:pPr>
            <w:r>
              <w:rPr>
                <w:rFonts w:hint="eastAsia" w:ascii="Times New Roman" w:hAnsi="Times New Roman" w:eastAsia="仿宋_GB2312"/>
                <w:sz w:val="24"/>
              </w:rPr>
              <w:t>16.</w:t>
            </w:r>
            <w:r>
              <w:rPr>
                <w:rFonts w:hint="eastAsia"/>
              </w:rPr>
              <w:t xml:space="preserve"> </w:t>
            </w:r>
            <w:r>
              <w:rPr>
                <w:rFonts w:hint="eastAsia" w:ascii="Times New Roman" w:hAnsi="Times New Roman" w:eastAsia="仿宋_GB2312"/>
                <w:sz w:val="24"/>
              </w:rPr>
              <w:t>与具备资质的成品油批发企业签订3年以上的供油协议</w:t>
            </w:r>
          </w:p>
        </w:tc>
        <w:tc>
          <w:tcPr>
            <w:tcW w:w="1283" w:type="dxa"/>
            <w:vAlign w:val="center"/>
          </w:tcPr>
          <w:p>
            <w:pPr>
              <w:widowControl/>
              <w:spacing w:line="375" w:lineRule="atLeast"/>
              <w:jc w:val="left"/>
              <w:rPr>
                <w:rFonts w:ascii="Times New Roman" w:hAnsi="Times New Roman" w:eastAsia="仿宋_GB2312"/>
                <w:sz w:val="24"/>
              </w:rPr>
            </w:pPr>
            <w:r>
              <w:rPr>
                <w:rFonts w:hint="eastAsia" w:ascii="Times New Roman" w:hAnsi="Times New Roman" w:eastAsia="仿宋_GB2312"/>
                <w:sz w:val="24"/>
              </w:rPr>
              <w:t>申请人自备</w:t>
            </w:r>
          </w:p>
        </w:tc>
        <w:tc>
          <w:tcPr>
            <w:tcW w:w="765" w:type="dxa"/>
            <w:vAlign w:val="center"/>
          </w:tcPr>
          <w:p>
            <w:pPr>
              <w:spacing w:line="310" w:lineRule="exact"/>
              <w:jc w:val="left"/>
              <w:rPr>
                <w:rFonts w:ascii="Times New Roman" w:hAnsi="Times New Roman"/>
              </w:rPr>
            </w:pPr>
          </w:p>
        </w:tc>
        <w:tc>
          <w:tcPr>
            <w:tcW w:w="684" w:type="dxa"/>
            <w:vAlign w:val="center"/>
          </w:tcPr>
          <w:p>
            <w:pPr>
              <w:spacing w:line="310" w:lineRule="exact"/>
              <w:jc w:val="left"/>
              <w:rPr>
                <w:rFonts w:ascii="Times New Roman" w:hAnsi="Times New Roman"/>
              </w:rPr>
            </w:pPr>
          </w:p>
        </w:tc>
      </w:tr>
    </w:tbl>
    <w:p>
      <w:pPr>
        <w:spacing w:line="600" w:lineRule="exact"/>
        <w:rPr>
          <w:rFonts w:ascii="Times New Roman" w:hAnsi="Times New Roman" w:eastAsia="仿宋_GB2312"/>
          <w:kern w:val="0"/>
          <w:sz w:val="32"/>
          <w:szCs w:val="32"/>
        </w:rPr>
      </w:pPr>
    </w:p>
    <w:p>
      <w:pPr>
        <w:spacing w:line="600" w:lineRule="exact"/>
        <w:rPr>
          <w:rFonts w:ascii="Times New Roman" w:hAnsi="Times New Roman" w:eastAsia="仿宋_GB2312"/>
          <w:kern w:val="0"/>
          <w:sz w:val="32"/>
          <w:szCs w:val="32"/>
        </w:rPr>
        <w:sectPr>
          <w:footerReference r:id="rId4" w:type="default"/>
          <w:pgSz w:w="16838" w:h="11906" w:orient="landscape"/>
          <w:pgMar w:top="1587" w:right="2098" w:bottom="1474" w:left="1984" w:header="851" w:footer="992" w:gutter="0"/>
          <w:pgNumType w:fmt="numberInDash"/>
          <w:cols w:space="720" w:num="1"/>
          <w:docGrid w:type="lines" w:linePitch="318"/>
        </w:sectPr>
      </w:pPr>
    </w:p>
    <w:p>
      <w:pPr>
        <w:spacing w:line="600" w:lineRule="exact"/>
        <w:rPr>
          <w:rFonts w:ascii="Times New Roman" w:hAnsi="Times New Roman"/>
          <w:sz w:val="24"/>
        </w:rPr>
      </w:pPr>
    </w:p>
    <w:p>
      <w:pPr>
        <w:spacing w:line="600" w:lineRule="exact"/>
        <w:jc w:val="center"/>
        <w:rPr>
          <w:rFonts w:hint="eastAsia" w:ascii="Times New Roman" w:hAnsi="Times New Roman"/>
          <w:sz w:val="28"/>
          <w:szCs w:val="28"/>
        </w:rPr>
      </w:pPr>
      <w:r>
        <w:rPr>
          <w:rFonts w:ascii="Times New Roman" w:hAnsi="Times New Roman"/>
          <w:sz w:val="28"/>
          <w:szCs w:val="28"/>
        </w:rPr>
        <w:t>1.4</w:t>
      </w:r>
      <w:r>
        <w:rPr>
          <w:rFonts w:hint="eastAsia" w:ascii="Times New Roman" w:hAnsi="Times New Roman" w:eastAsia="仿宋_GB2312"/>
          <w:sz w:val="24"/>
          <w:lang w:eastAsia="zh-CN"/>
        </w:rPr>
        <w:t>成品油零售经营资格初审</w:t>
      </w:r>
      <w:r>
        <w:rPr>
          <w:rFonts w:ascii="Times New Roman" w:hAnsi="Times New Roman"/>
          <w:sz w:val="28"/>
          <w:szCs w:val="28"/>
        </w:rPr>
        <w:t>办理结果样本</w:t>
      </w:r>
    </w:p>
    <w:p>
      <w:pPr>
        <w:spacing w:line="600" w:lineRule="exact"/>
        <w:jc w:val="center"/>
        <w:rPr>
          <w:rFonts w:ascii="Times New Roman" w:hAnsi="Times New Roman"/>
          <w:sz w:val="28"/>
          <w:szCs w:val="28"/>
        </w:rPr>
      </w:pPr>
    </w:p>
    <w:p>
      <w:pPr>
        <w:jc w:val="center"/>
        <w:rPr>
          <w:rFonts w:ascii="Times New Roman" w:hAnsi="Times New Roman"/>
        </w:rPr>
      </w:pPr>
      <w:r>
        <w:rPr>
          <w:rFonts w:ascii="Times New Roman" w:hAnsi="Times New Roman" w:eastAsia="仿宋_GB2312" w:cs="Times New Roman"/>
          <w:kern w:val="0"/>
          <w:sz w:val="32"/>
          <w:szCs w:val="32"/>
          <w:lang w:val="en-US" w:eastAsia="zh-CN" w:bidi="ar-SA"/>
        </w:rPr>
        <w:pict>
          <v:shape id="图片框 1027" o:spid="_x0000_s1028" type="#_x0000_t75" style="height:212.4pt;width:379.1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600" w:lineRule="exact"/>
        <w:rPr>
          <w:rFonts w:ascii="Times New Roman" w:hAnsi="Times New Roman" w:eastAsia="仿宋_GB2312"/>
          <w:kern w:val="0"/>
          <w:sz w:val="32"/>
          <w:szCs w:val="32"/>
        </w:rPr>
      </w:pPr>
      <w:r>
        <w:rPr>
          <w:rFonts w:ascii="Times New Roman" w:hAnsi="Times New Roman" w:eastAsia="宋体" w:cs="Times New Roman"/>
          <w:kern w:val="2"/>
          <w:sz w:val="28"/>
          <w:szCs w:val="28"/>
          <w:lang w:val="en-US" w:eastAsia="zh-CN" w:bidi="ar-SA"/>
        </w:rPr>
        <w:pict>
          <v:shape id="图片框 1028" o:spid="_x0000_s1029" type="#_x0000_t75" style="height:223.55pt;width:317.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sectPr>
      <w:footerReference r:id="rId5" w:type="default"/>
      <w:pgSz w:w="11906" w:h="16838"/>
      <w:pgMar w:top="2098" w:right="1474" w:bottom="1984" w:left="1587" w:header="851" w:footer="992" w:gutter="0"/>
      <w:pgNumType w:fmt="numberInDash"/>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center" w:pos="4153"/>
        <w:tab w:val="right" w:pos="8306"/>
        <w:tab w:val="clear" w:pos="4140"/>
        <w:tab w:val="clear" w:pos="8300"/>
      </w:tabs>
      <w:jc w:val="right"/>
    </w:pPr>
    <w:r>
      <w:rPr>
        <w:rFonts w:ascii="Calibri" w:hAnsi="Calibri" w:eastAsia="宋体" w:cs="Times New Roman"/>
        <w:kern w:val="2"/>
        <w:sz w:val="18"/>
        <w:szCs w:val="18"/>
        <w:lang w:val="en-US" w:eastAsia="zh-CN" w:bidi="ar-SA"/>
      </w:rPr>
      <w:pict>
        <v:shape id="_x0000_s2054" o:spid="_x0000_s1025"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v:textbox>
        </v:shape>
      </w:pict>
    </w:r>
  </w:p>
  <w:p>
    <w:pPr>
      <w:pStyle w:val="7"/>
      <w:tabs>
        <w:tab w:val="center" w:pos="4153"/>
        <w:tab w:val="right" w:pos="8306"/>
        <w:tab w:val="clear" w:pos="4140"/>
        <w:tab w:val="clear"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center" w:pos="4153"/>
        <w:tab w:val="right" w:pos="8306"/>
        <w:tab w:val="clear" w:pos="4140"/>
        <w:tab w:val="clear" w:pos="8300"/>
      </w:tabs>
    </w:pPr>
    <w:r>
      <w:rPr>
        <w:rFonts w:ascii="Calibri" w:hAnsi="Calibri" w:eastAsia="宋体" w:cs="Times New Roman"/>
        <w:kern w:val="2"/>
        <w:sz w:val="18"/>
        <w:szCs w:val="18"/>
        <w:lang w:val="en-US" w:eastAsia="zh-CN" w:bidi="ar-SA"/>
      </w:rPr>
      <w:pict>
        <v:shape id="_x0000_s2053" o:spid="_x0000_s1026"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7"/>
                  <w:rPr>
                    <w:rFonts w:hint="eastAsia"/>
                  </w:rPr>
                </w:pPr>
                <w:r>
                  <w:fldChar w:fldCharType="begin"/>
                </w:r>
                <w:r>
                  <w:instrText xml:space="preserve"> PAGE  \* MERGEFORMAT </w:instrText>
                </w:r>
                <w:r>
                  <w:fldChar w:fldCharType="separate"/>
                </w:r>
                <w:r>
                  <w:t>- 10 -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HorizontalSpacing w:val="105"/>
  <w:drawingGridVerticalSpacing w:val="159"/>
  <w:displayHorizontalDrawingGridEvery w:val="1"/>
  <w:displayVerticalDrawingGridEvery w:val="2"/>
  <w:doNotShadeFormData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1"/>
    <w:qFormat/>
    <w:uiPriority w:val="0"/>
    <w:pPr>
      <w:keepNext/>
      <w:keepLines/>
      <w:widowControl/>
      <w:ind w:firstLine="200" w:firstLineChars="200"/>
      <w:jc w:val="left"/>
      <w:outlineLvl w:val="1"/>
    </w:pPr>
    <w:rPr>
      <w:rFonts w:ascii="Cambria" w:hAnsi="Cambria" w:eastAsia="楷体_GB2312"/>
      <w:b/>
      <w:bCs/>
      <w:kern w:val="0"/>
      <w:sz w:val="32"/>
      <w:szCs w:val="32"/>
      <w:lang w:eastAsia="en-US" w:bidi="en-US"/>
    </w:rPr>
  </w:style>
  <w:style w:type="paragraph" w:styleId="3">
    <w:name w:val="heading 3"/>
    <w:basedOn w:val="1"/>
    <w:next w:val="1"/>
    <w:link w:val="22"/>
    <w:qFormat/>
    <w:uiPriority w:val="0"/>
    <w:pPr>
      <w:keepNext/>
      <w:keepLines/>
      <w:widowControl/>
      <w:ind w:firstLine="200" w:firstLineChars="200"/>
      <w:jc w:val="left"/>
      <w:outlineLvl w:val="2"/>
    </w:pPr>
    <w:rPr>
      <w:rFonts w:eastAsia="仿宋_GB2312"/>
      <w:b/>
      <w:bCs/>
      <w:kern w:val="0"/>
      <w:sz w:val="32"/>
      <w:szCs w:val="32"/>
      <w:lang w:eastAsia="en-US" w:bidi="en-US"/>
    </w:rPr>
  </w:style>
  <w:style w:type="paragraph" w:styleId="4">
    <w:name w:val="heading 4"/>
    <w:basedOn w:val="1"/>
    <w:next w:val="1"/>
    <w:link w:val="19"/>
    <w:qFormat/>
    <w:uiPriority w:val="0"/>
    <w:pPr>
      <w:keepNext/>
      <w:keepLines/>
      <w:ind w:firstLine="643" w:firstLineChars="200"/>
      <w:outlineLvl w:val="3"/>
    </w:pPr>
    <w:rPr>
      <w:rFonts w:ascii="Cambria" w:hAnsi="Cambria" w:eastAsia="仿宋_GB2312"/>
      <w:b/>
      <w:bCs/>
      <w:sz w:val="32"/>
      <w:szCs w:val="28"/>
    </w:rPr>
  </w:style>
  <w:style w:type="character" w:default="1" w:styleId="13">
    <w:name w:val="Default Paragraph Font"/>
    <w:uiPriority w:val="0"/>
    <w:rPr>
      <w:rFonts w:ascii="Times New Roman" w:hAnsi="Times New Roman" w:eastAsia="宋体" w:cs="Times New Roman"/>
    </w:rPr>
  </w:style>
  <w:style w:type="paragraph" w:styleId="5">
    <w:name w:val="annotation text"/>
    <w:basedOn w:val="1"/>
    <w:qFormat/>
    <w:uiPriority w:val="0"/>
    <w:pPr>
      <w:jc w:val="left"/>
    </w:pPr>
    <w:rPr>
      <w:rFonts w:ascii="Times New Roman" w:hAnsi="Times New Roman"/>
    </w:rPr>
  </w:style>
  <w:style w:type="paragraph" w:styleId="6">
    <w:name w:val="Balloon Text"/>
    <w:basedOn w:val="1"/>
    <w:qFormat/>
    <w:uiPriority w:val="0"/>
    <w:rPr>
      <w:rFonts w:ascii="Times New Roman" w:hAnsi="Times New Roman"/>
      <w:sz w:val="18"/>
      <w:szCs w:val="18"/>
    </w:rPr>
  </w:style>
  <w:style w:type="paragraph" w:styleId="7">
    <w:name w:val="footer"/>
    <w:basedOn w:val="1"/>
    <w:link w:val="20"/>
    <w:uiPriority w:val="0"/>
    <w:pPr>
      <w:tabs>
        <w:tab w:val="center" w:pos="4140"/>
        <w:tab w:val="right" w:pos="8300"/>
      </w:tabs>
      <w:snapToGrid w:val="0"/>
      <w:jc w:val="left"/>
    </w:pPr>
    <w:rPr>
      <w:sz w:val="18"/>
      <w:szCs w:val="18"/>
    </w:rPr>
  </w:style>
  <w:style w:type="paragraph" w:styleId="8">
    <w:name w:val="header"/>
    <w:basedOn w:val="1"/>
    <w:link w:val="23"/>
    <w:uiPriority w:val="0"/>
    <w:pPr>
      <w:pBdr>
        <w:bottom w:val="single" w:color="auto" w:sz="6" w:space="1"/>
      </w:pBdr>
      <w:tabs>
        <w:tab w:val="center" w:pos="4140"/>
        <w:tab w:val="right" w:pos="8300"/>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HTML Preformatted"/>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uiPriority w:val="0"/>
    <w:pPr>
      <w:spacing w:before="100" w:beforeAutospacing="1" w:after="100" w:afterAutospacing="1"/>
      <w:jc w:val="left"/>
    </w:pPr>
    <w:rPr>
      <w:rFonts w:ascii="Times New Roman" w:hAnsi="Times New Roman"/>
      <w:kern w:val="0"/>
      <w:sz w:val="24"/>
    </w:rPr>
  </w:style>
  <w:style w:type="character" w:styleId="14">
    <w:name w:val="Strong"/>
    <w:qFormat/>
    <w:uiPriority w:val="22"/>
    <w:rPr>
      <w:rFonts w:ascii="Times New Roman" w:hAnsi="Times New Roman" w:eastAsia="宋体" w:cs="Times New Roman"/>
      <w:b/>
    </w:rPr>
  </w:style>
  <w:style w:type="character" w:styleId="15">
    <w:name w:val="page number"/>
    <w:basedOn w:val="13"/>
    <w:uiPriority w:val="0"/>
    <w:rPr/>
  </w:style>
  <w:style w:type="character" w:styleId="16">
    <w:name w:val="Hyperlink"/>
    <w:unhideWhenUsed/>
    <w:qFormat/>
    <w:uiPriority w:val="99"/>
    <w:rPr>
      <w:rFonts w:ascii="Times New Roman" w:hAnsi="Times New Roman" w:eastAsia="宋体" w:cs="Times New Roman"/>
      <w:color w:val="0000FF"/>
      <w:u w:val="single"/>
    </w:rPr>
  </w:style>
  <w:style w:type="character" w:styleId="17">
    <w:name w:val="annotation reference"/>
    <w:uiPriority w:val="0"/>
    <w:rPr>
      <w:rFonts w:ascii="Times New Roman" w:hAnsi="Times New Roman" w:eastAsia="宋体" w:cs="Times New Roman"/>
      <w:sz w:val="21"/>
      <w:szCs w:val="21"/>
    </w:rPr>
  </w:style>
  <w:style w:type="paragraph" w:customStyle="1" w:styleId="18">
    <w:name w:val="List Paragraph"/>
    <w:basedOn w:val="1"/>
    <w:qFormat/>
    <w:uiPriority w:val="0"/>
    <w:pPr>
      <w:ind w:firstLine="420" w:firstLineChars="200"/>
    </w:pPr>
  </w:style>
  <w:style w:type="character" w:customStyle="1" w:styleId="19">
    <w:name w:val="标题 4 Char Char"/>
    <w:link w:val="4"/>
    <w:uiPriority w:val="0"/>
    <w:rPr>
      <w:rFonts w:ascii="Cambria" w:hAnsi="Cambria" w:eastAsia="仿宋_GB2312" w:cs="Times New Roman"/>
      <w:b/>
      <w:bCs/>
      <w:kern w:val="2"/>
      <w:sz w:val="32"/>
      <w:szCs w:val="28"/>
    </w:rPr>
  </w:style>
  <w:style w:type="character" w:customStyle="1" w:styleId="20">
    <w:name w:val="页脚 Char Char"/>
    <w:link w:val="7"/>
    <w:uiPriority w:val="0"/>
    <w:rPr>
      <w:rFonts w:ascii="Calibri" w:hAnsi="Calibri" w:eastAsia="宋体" w:cs="Times New Roman"/>
      <w:kern w:val="2"/>
      <w:sz w:val="18"/>
      <w:szCs w:val="18"/>
    </w:rPr>
  </w:style>
  <w:style w:type="character" w:customStyle="1" w:styleId="21">
    <w:name w:val="标题 2 Char Char"/>
    <w:link w:val="2"/>
    <w:uiPriority w:val="0"/>
    <w:rPr>
      <w:rFonts w:ascii="Cambria" w:hAnsi="Cambria" w:eastAsia="楷体_GB2312" w:cs="Times New Roman"/>
      <w:b/>
      <w:bCs/>
      <w:sz w:val="32"/>
      <w:szCs w:val="32"/>
      <w:lang w:eastAsia="en-US" w:bidi="en-US"/>
    </w:rPr>
  </w:style>
  <w:style w:type="character" w:customStyle="1" w:styleId="22">
    <w:name w:val="标题 3 Char Char"/>
    <w:link w:val="3"/>
    <w:uiPriority w:val="0"/>
    <w:rPr>
      <w:rFonts w:ascii="Calibri" w:hAnsi="Calibri" w:eastAsia="仿宋_GB2312" w:cs="Times New Roman"/>
      <w:b/>
      <w:bCs/>
      <w:sz w:val="32"/>
      <w:szCs w:val="32"/>
      <w:lang w:eastAsia="en-US" w:bidi="en-US"/>
    </w:rPr>
  </w:style>
  <w:style w:type="character" w:customStyle="1" w:styleId="23">
    <w:name w:val="页眉 Char Char"/>
    <w:link w:val="8"/>
    <w:uiPriority w:val="0"/>
    <w:rPr>
      <w:rFonts w:ascii="Calibri" w:hAnsi="Calibri" w:eastAsia="宋体" w:cs="Times New Roman"/>
      <w:kern w:val="2"/>
      <w:sz w:val="18"/>
      <w:szCs w:val="18"/>
    </w:rPr>
  </w:style>
  <w:style w:type="character" w:customStyle="1" w:styleId="24">
    <w:name w:val="page numb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257</Words>
  <Characters>1466</Characters>
  <Lines>12</Lines>
  <Paragraphs>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2018-09-05T03:58:00Z</dcterms:created>
  <dc:creator>Administrator</dc:creator>
  <cp:lastModifiedBy>lenovo</cp:lastModifiedBy>
  <cp:lastPrinted>2018-07-26T04:52:00Z</cp:lastPrinted>
  <dcterms:modified xsi:type="dcterms:W3CDTF">2019-01-24T09:44:37Z</dcterms:modified>
  <dc:title>“一网通办”前提下“最多跑一次”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