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rPr>
      </w:pPr>
      <w:r>
        <w:rPr>
          <w:rFonts w:hint="eastAsia" w:ascii="Times New Roman" w:hAnsi="Times New Roman" w:eastAsia="宋体" w:cs="宋体"/>
          <w:color w:val="000000"/>
          <w:kern w:val="2"/>
          <w:sz w:val="28"/>
          <w:szCs w:val="28"/>
          <w:lang w:val="en-US" w:eastAsia="zh-CN"/>
        </w:rPr>
        <w:t>省定标准</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郑州市政务服务办事大厅</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方正小标宋简体" w:hAnsi="方正小标宋简体" w:eastAsia="方正小标宋简体" w:cs="方正小标宋简体"/>
          <w:color w:val="000000"/>
          <w:kern w:val="2"/>
          <w:sz w:val="44"/>
          <w:szCs w:val="44"/>
          <w:lang w:val="en-US" w:eastAsia="zh-CN"/>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rPr>
        <w:t>企业从事拍卖业务许可初审办事指南</w:t>
      </w:r>
    </w:p>
    <w:p>
      <w:pPr>
        <w:jc w:val="center"/>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w:t>
      </w:r>
      <w:r>
        <w:rPr>
          <w:rFonts w:hint="eastAsia" w:ascii="宋体" w:hAnsi="宋体" w:eastAsia="宋体" w:cs="宋体"/>
          <w:sz w:val="32"/>
          <w:szCs w:val="32"/>
        </w:rPr>
        <w:t>企业从事拍卖业务许可初审</w:t>
      </w:r>
      <w:r>
        <w:rPr>
          <w:rFonts w:hint="eastAsia" w:ascii="宋体" w:hAnsi="宋体" w:eastAsia="宋体" w:cs="宋体"/>
          <w:color w:val="000000"/>
          <w:kern w:val="2"/>
          <w:sz w:val="32"/>
          <w:szCs w:val="32"/>
          <w:lang w:val="en-US" w:eastAsia="zh-CN"/>
        </w:rPr>
        <w:t>）</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中国•郑州</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p>
    <w:p>
      <w:pPr>
        <w:widowControl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实施主体：</w:t>
      </w:r>
    </w:p>
    <w:p>
      <w:pPr>
        <w:pStyle w:val="4"/>
        <w:numPr>
          <w:ilvl w:val="1"/>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适用范围：</w:t>
      </w:r>
    </w:p>
    <w:p>
      <w:pPr>
        <w:widowControl w:val="0"/>
        <w:spacing w:before="0" w:beforeAutospacing="0" w:after="0" w:afterAutospacing="0"/>
        <w:ind w:left="0" w:right="0"/>
        <w:jc w:val="both"/>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全市申请</w:t>
      </w:r>
      <w:r>
        <w:rPr>
          <w:rFonts w:hint="eastAsia" w:ascii="宋体" w:hAnsi="宋体" w:eastAsia="宋体" w:cs="宋体"/>
          <w:sz w:val="32"/>
          <w:szCs w:val="32"/>
        </w:rPr>
        <w:t>企业从事拍卖业务许可初审</w:t>
      </w:r>
      <w:r>
        <w:rPr>
          <w:rFonts w:hint="eastAsia" w:ascii="宋体" w:hAnsi="宋体" w:eastAsia="宋体" w:cs="宋体"/>
          <w:color w:val="000000"/>
          <w:kern w:val="2"/>
          <w:sz w:val="32"/>
          <w:szCs w:val="32"/>
          <w:lang w:val="en-US" w:eastAsia="zh-CN"/>
        </w:rPr>
        <w:t>的许可</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事项类别：</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其他职权</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实施依据：</w:t>
      </w:r>
    </w:p>
    <w:p>
      <w:pPr>
        <w:autoSpaceDE w:val="0"/>
        <w:autoSpaceDN w:val="0"/>
        <w:adjustRightInd w:val="0"/>
        <w:jc w:val="left"/>
        <w:rPr>
          <w:rFonts w:hint="eastAsia" w:ascii="宋体" w:hAnsi="宋体" w:eastAsia="宋体" w:cs="宋体"/>
          <w:kern w:val="0"/>
          <w:sz w:val="32"/>
          <w:szCs w:val="32"/>
        </w:rPr>
      </w:pPr>
      <w:r>
        <w:rPr>
          <w:rFonts w:hint="eastAsia" w:ascii="宋体" w:hAnsi="宋体" w:eastAsia="宋体" w:cs="宋体"/>
          <w:kern w:val="0"/>
          <w:sz w:val="32"/>
          <w:szCs w:val="32"/>
        </w:rPr>
        <w:t>《拍卖管理办法》（商务部令2004年第24号）</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kern w:val="0"/>
          <w:sz w:val="32"/>
          <w:szCs w:val="32"/>
        </w:rPr>
        <w:t xml:space="preserve">第四条 </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第十二条</w:t>
      </w:r>
      <w:r>
        <w:rPr>
          <w:rFonts w:hint="eastAsia" w:ascii="宋体" w:hAnsi="宋体" w:eastAsia="宋体" w:cs="宋体"/>
          <w:kern w:val="0"/>
          <w:sz w:val="32"/>
          <w:szCs w:val="32"/>
          <w:lang w:eastAsia="zh-CN"/>
        </w:rPr>
        <w:t>。</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申请材料：</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1.申请经营许可证的文件；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2.公司章程、拍卖业务规则；</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3.企业法人营业执照副本；</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4.法定代表人简历和有效身份证明；</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5.拟聘任的拍卖师执业资格证书；</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6.固定办公场所产权证明或租用合同；</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7.拟设立分公司的申请报告；</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8.企业法人营业执照副本；</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9.最近2年经会计师事务所审计的年度财务会计报表；</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10.拟任分公司负责人简历及有效身份证明；</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11.拟聘任的拍卖师执业资格证书及从业人员的相关资质证明；</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12.固定办公场所的产权证明或租用合同。</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承诺时限：</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10个工作日</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收费标准：</w:t>
      </w:r>
    </w:p>
    <w:p>
      <w:pPr>
        <w:widowControl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rPr>
        <w:t>不收费</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咨询电话：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bookmarkStart w:id="0" w:name="_GoBack"/>
      <w:r>
        <w:rPr>
          <w:rFonts w:hint="eastAsia" w:ascii="Times New Roman" w:hAnsi="Times New Roman" w:eastAsia="宋体" w:cs="宋体"/>
          <w:color w:val="000000"/>
          <w:kern w:val="2"/>
          <w:sz w:val="32"/>
          <w:szCs w:val="32"/>
          <w:lang w:val="en-US" w:eastAsia="zh-CN"/>
        </w:rPr>
        <w:t>67180259</w:t>
      </w:r>
    </w:p>
    <w:bookmarkEnd w:id="0"/>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投诉电话：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67887373</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办理地址：</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郑州市中原区中原西路与图强路交叉口路北郑州市政务服务大厅三楼建设项目和社会服务综合受理区。</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公交线路指引：</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1.郑州火车站乘坐公交60路、210路公交，或火车站至郑州市政务服务大厅的公交专线；</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2.地铁西流湖站乘坐至郑州市政务服务办事大厅的专线接驳车。</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结果领取方式（可选择）：</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至郑州市政务服务大厅三楼建设项目和社会服务综合受理区发证窗口；</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免费邮寄送达。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8DB23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2018-10-15T02:32:00Z</dcterms:created>
  <dc:creator>Administrator</dc:creator>
  <cp:lastModifiedBy>Administrator</cp:lastModifiedBy>
  <dcterms:modified xsi:type="dcterms:W3CDTF">2018-10-30T02:48:41Z</dcterms:modified>
  <dc:title>省定标准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