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rPr>
      </w:pPr>
      <w:r>
        <w:rPr>
          <w:rFonts w:hint="eastAsia" w:ascii="Times New Roman" w:hAnsi="Times New Roman" w:eastAsia="宋体" w:cs="宋体"/>
          <w:color w:val="000000"/>
          <w:kern w:val="2"/>
          <w:sz w:val="28"/>
          <w:szCs w:val="28"/>
          <w:lang w:val="en-US" w:eastAsia="zh-CN"/>
        </w:rPr>
        <w:t>省定标准</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郑州市政务服务办事大厅</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方正小标宋简体" w:hAnsi="方正小标宋简体" w:eastAsia="方正小标宋简体" w:cs="方正小标宋简体"/>
          <w:color w:val="000000"/>
          <w:kern w:val="2"/>
          <w:sz w:val="44"/>
          <w:szCs w:val="44"/>
          <w:lang w:val="en-US" w:eastAsia="zh-CN"/>
        </w:rPr>
      </w:pPr>
    </w:p>
    <w:p>
      <w:pPr>
        <w:shd w:val="clear" w:color="auto" w:fill="FFFFFF"/>
        <w:spacing w:line="360" w:lineRule="atLeast"/>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rPr>
        <w:t>成品油零售经营资格初审办事指南</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w:t>
      </w:r>
      <w:r>
        <w:rPr>
          <w:rFonts w:hint="eastAsia" w:ascii="宋体" w:hAnsi="宋体" w:eastAsia="宋体" w:cs="宋体"/>
          <w:sz w:val="32"/>
          <w:szCs w:val="32"/>
        </w:rPr>
        <w:t>成品油零售经营资格初审</w:t>
      </w:r>
      <w:r>
        <w:rPr>
          <w:rFonts w:hint="eastAsia" w:ascii="Times New Roman" w:hAnsi="Times New Roman" w:eastAsia="宋体" w:cs="宋体"/>
          <w:color w:val="000000"/>
          <w:kern w:val="2"/>
          <w:sz w:val="32"/>
          <w:szCs w:val="32"/>
          <w:lang w:val="en-US" w:eastAsia="zh-CN"/>
        </w:rPr>
        <w:t>）</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中国•郑州</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p>
    <w:p>
      <w:pPr>
        <w:widowControl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实施主体：</w:t>
      </w:r>
    </w:p>
    <w:p>
      <w:pPr>
        <w:pStyle w:val="4"/>
        <w:numPr>
          <w:ilvl w:val="1"/>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适用范围：</w:t>
      </w:r>
    </w:p>
    <w:p>
      <w:pPr>
        <w:widowControl w:val="0"/>
        <w:spacing w:before="0" w:beforeAutospacing="0" w:after="0" w:afterAutospacing="0"/>
        <w:ind w:left="0" w:right="0"/>
        <w:jc w:val="both"/>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金水区、二七区、管城区、中原区、惠济区、上街区、高新技术产业开发区、郑东新区、经济技术开发区申请成品油零售经营资格初审</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事项类别：</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其他职权</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实施依据：</w:t>
      </w:r>
    </w:p>
    <w:p>
      <w:pPr>
        <w:widowControl w:val="0"/>
        <w:spacing w:before="0" w:beforeAutospacing="0" w:after="0" w:afterAutospacing="0"/>
        <w:ind w:left="0" w:right="0"/>
        <w:jc w:val="left"/>
        <w:rPr>
          <w:rFonts w:hint="eastAsia" w:ascii="宋体" w:hAnsi="宋体" w:eastAsia="宋体" w:cs="宋体"/>
          <w:sz w:val="32"/>
          <w:szCs w:val="32"/>
          <w:lang w:eastAsia="zh-CN"/>
        </w:rPr>
      </w:pPr>
      <w:r>
        <w:rPr>
          <w:rFonts w:hint="eastAsia" w:ascii="宋体" w:hAnsi="宋体" w:eastAsia="宋体" w:cs="宋体"/>
          <w:sz w:val="32"/>
          <w:szCs w:val="32"/>
        </w:rPr>
        <w:t>河南省贯彻《成品油市场管理办法》实施细则修改意见</w:t>
      </w:r>
      <w:r>
        <w:rPr>
          <w:rFonts w:hint="eastAsia" w:ascii="宋体" w:hAnsi="宋体" w:eastAsia="宋体" w:cs="宋体"/>
          <w:sz w:val="32"/>
          <w:szCs w:val="32"/>
          <w:lang w:eastAsia="zh-CN"/>
        </w:rPr>
        <w:t>（</w:t>
      </w:r>
      <w:r>
        <w:rPr>
          <w:rFonts w:hint="eastAsia" w:ascii="宋体" w:hAnsi="宋体" w:eastAsia="宋体" w:cs="宋体"/>
          <w:sz w:val="32"/>
          <w:szCs w:val="32"/>
        </w:rPr>
        <w:t>豫商商贸〔2010〕7</w:t>
      </w:r>
      <w:r>
        <w:rPr>
          <w:rFonts w:hint="eastAsia" w:ascii="宋体" w:hAnsi="宋体" w:eastAsia="宋体" w:cs="宋体"/>
          <w:sz w:val="32"/>
          <w:szCs w:val="32"/>
          <w:lang w:val="en-US" w:eastAsia="zh-CN"/>
        </w:rPr>
        <w:t>1）</w:t>
      </w:r>
      <w:r>
        <w:rPr>
          <w:rFonts w:hint="eastAsia" w:ascii="宋体" w:hAnsi="宋体" w:eastAsia="宋体" w:cs="宋体"/>
          <w:sz w:val="32"/>
          <w:szCs w:val="32"/>
        </w:rPr>
        <w:t>号第三条第二项</w:t>
      </w:r>
      <w:r>
        <w:rPr>
          <w:rFonts w:hint="eastAsia" w:ascii="宋体" w:hAnsi="宋体" w:eastAsia="宋体" w:cs="宋体"/>
          <w:sz w:val="32"/>
          <w:szCs w:val="32"/>
          <w:lang w:eastAsia="zh-CN"/>
        </w:rPr>
        <w:t>。</w:t>
      </w:r>
    </w:p>
    <w:p>
      <w:pPr>
        <w:widowControl w:val="0"/>
        <w:spacing w:before="0" w:beforeAutospacing="0" w:after="0" w:afterAutospacing="0"/>
        <w:ind w:left="0" w:right="0"/>
        <w:jc w:val="left"/>
        <w:rPr>
          <w:rFonts w:hint="eastAsia" w:ascii="宋体" w:hAnsi="宋体" w:eastAsia="宋体" w:cs="宋体"/>
          <w:sz w:val="32"/>
          <w:szCs w:val="32"/>
          <w:lang w:eastAsia="zh-CN"/>
        </w:rPr>
      </w:pPr>
      <w:r>
        <w:rPr>
          <w:rFonts w:hint="eastAsia" w:ascii="宋体" w:hAnsi="宋体" w:eastAsia="宋体" w:cs="宋体"/>
          <w:sz w:val="32"/>
          <w:szCs w:val="32"/>
          <w:lang w:eastAsia="zh-CN"/>
        </w:rPr>
        <w:t>《郑州市人民政府办公厅关于郑州市油气回收综合治理工作方案的通知》（郑政办明电〔</w:t>
      </w:r>
      <w:r>
        <w:rPr>
          <w:rFonts w:hint="eastAsia" w:ascii="宋体" w:hAnsi="宋体" w:eastAsia="宋体" w:cs="宋体"/>
          <w:sz w:val="32"/>
          <w:szCs w:val="32"/>
          <w:lang w:val="en-US" w:eastAsia="zh-CN"/>
        </w:rPr>
        <w:t>2014</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242号</w:t>
      </w:r>
      <w:r>
        <w:rPr>
          <w:rFonts w:hint="eastAsia" w:ascii="宋体" w:hAnsi="宋体" w:eastAsia="宋体" w:cs="宋体"/>
          <w:sz w:val="32"/>
          <w:szCs w:val="32"/>
          <w:lang w:eastAsia="zh-CN"/>
        </w:rPr>
        <w:t>）</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申请材料：</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 各县区商务部门转报请示文件；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2. 企业申请文件；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3. 《河南省加油站建设验收情况表》；</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4. 填写《成品油零售企业经营资格申请表》；</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5. 河南省商务厅规划确认文件；</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6. 国土资源部门核发的土地使用证或土地使用批准文件（仅限高速公路服务区加油站使用）；</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7. 建设用地规划许可证；（城市规划区外，提供村镇规划许可证或村镇规划选址意见书；高速公路服务区加油站提供可行性研究报告批复、初步设计批复）；</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8. 建设工程规划许可证（城市规划区以外，不需要提供；高速公路服务区加油站提供概念设计批复或房屋建筑物设计批复)；</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9.建筑工程施工许可证（城市规划区以外，提供村镇建筑许可证；投资30万元以下或者建筑面积在300平方米以下的可以不提供此证；高速公路服务区加油站提供交通厅开工令或开工报告批复）；</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10. 建筑工程消防验收意见书；</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11. 有效期内的《危险化学品经营许可证》；</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12. 加油站油气回收治理工程环保验收合格通知书；</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13. 有效期内的加油机计量鉴定证书或出厂合格证书；</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14. 有效期内的防雷防静电装置安全检测证或检测报告、检测机构营业执照及检测资质证；</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15. 成品油计量（本站）、消防（本站）、安全生产等专业技术人员的资格证明；</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16. 与具备资质的成品油批发企业签订3年以上的供油议。</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承诺时限：</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15个工作日</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收费标准：</w:t>
      </w:r>
    </w:p>
    <w:p>
      <w:pPr>
        <w:widowControl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rPr>
        <w:t>不收费</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咨询电话：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bookmarkStart w:id="0" w:name="_GoBack"/>
      <w:r>
        <w:rPr>
          <w:rFonts w:hint="eastAsia" w:ascii="Times New Roman" w:hAnsi="Times New Roman" w:eastAsia="宋体" w:cs="宋体"/>
          <w:color w:val="000000"/>
          <w:kern w:val="2"/>
          <w:sz w:val="32"/>
          <w:szCs w:val="32"/>
          <w:lang w:val="en-US" w:eastAsia="zh-CN"/>
        </w:rPr>
        <w:t>67180378、67180382</w:t>
      </w:r>
    </w:p>
    <w:bookmarkEnd w:id="0"/>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投诉电话：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67887373</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办理地址：</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郑州市中原区中原西路与图强路交叉口路北郑州市政务服务大厅三楼建设项目和社会服务综合受理区。</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公交线路指引：</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1.郑州火车站乘坐公交60路、210路公交，或火车站至郑州市政务服务大厅的公交专线；</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2.地铁西流湖站乘坐至郑州市政务服务办事大厅的专线接驳车。</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结果领取方式（可选择）：</w:t>
      </w:r>
    </w:p>
    <w:p>
      <w:pPr>
        <w:widowControl w:val="0"/>
        <w:numPr>
          <w:ilvl w:val="0"/>
          <w:numId w:val="2"/>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至郑州市政务服务大厅三楼建设项目和社会服务综合受理区发证窗口；</w:t>
      </w:r>
    </w:p>
    <w:p>
      <w:pPr>
        <w:widowControl w:val="0"/>
        <w:numPr>
          <w:ilvl w:val="0"/>
          <w:numId w:val="2"/>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免费邮寄送达。</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5"/>
      <w:suff w:val="nothing"/>
      <w:lvlText w:val="%1.%2　"/>
      <w:lvlJc w:val="left"/>
      <w:pPr>
        <w:ind w:left="284"/>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156623A"/>
    <w:multiLevelType w:val="singleLevel"/>
    <w:tmpl w:val="3156623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DED70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2">
    <w:name w:val="Default Paragraph Font"/>
    <w:semiHidden/>
    <w:uiPriority w:val="0"/>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一级无"/>
    <w:basedOn w:val="5"/>
    <w:qFormat/>
    <w:uiPriority w:val="99"/>
    <w:pPr>
      <w:spacing w:beforeLines="0"/>
    </w:pPr>
    <w:rPr>
      <w:rFonts w:ascii="宋体" w:eastAsia="宋体"/>
    </w:rPr>
  </w:style>
  <w:style w:type="paragraph" w:customStyle="1" w:styleId="5">
    <w:name w:val="一级条标题"/>
    <w:next w:val="6"/>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6">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2018-10-15T02:04:00Z</dcterms:created>
  <dc:creator>Administrator</dc:creator>
  <cp:lastModifiedBy>Administrator</cp:lastModifiedBy>
  <dcterms:modified xsi:type="dcterms:W3CDTF">2018-10-30T02:47:50Z</dcterms:modified>
  <dc:title>省定标准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