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28"/>
          <w:szCs w:val="28"/>
          <w:lang w:val="en-US" w:eastAsia="zh-CN" w:bidi="ar"/>
        </w:rPr>
      </w:pPr>
      <w:r>
        <w:rPr>
          <w:rFonts w:hint="eastAsia" w:ascii="Times New Roman" w:hAnsi="Times New Roman" w:eastAsia="宋体" w:cs="宋体"/>
          <w:color w:val="000000"/>
          <w:kern w:val="2"/>
          <w:sz w:val="28"/>
          <w:szCs w:val="28"/>
          <w:lang w:val="en-US" w:eastAsia="zh-CN" w:bidi="ar"/>
        </w:rPr>
        <w:t>省定标准</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郑州市政务服务办事大厅</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000000"/>
          <w:kern w:val="2"/>
          <w:sz w:val="44"/>
          <w:szCs w:val="44"/>
          <w:lang w:val="en-US" w:eastAsia="zh-CN" w:bidi="ar"/>
        </w:rPr>
      </w:pPr>
    </w:p>
    <w:p>
      <w:pPr>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bidi="ar"/>
        </w:rPr>
        <w:t>不涉及国家规定实施准入特别管理措施的外商投资企业设立及变更备案办事指南</w:t>
      </w:r>
    </w:p>
    <w:p>
      <w:pPr>
        <w:jc w:val="center"/>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w:t>
      </w:r>
      <w:r>
        <w:rPr>
          <w:rFonts w:hint="eastAsia" w:ascii="宋体" w:hAnsi="宋体" w:eastAsia="宋体" w:cs="宋体"/>
          <w:sz w:val="32"/>
          <w:szCs w:val="32"/>
        </w:rPr>
        <w:t>不涉及国家规定实施准入特别管理措施的外商投资企业设立及变更备案</w:t>
      </w:r>
      <w:r>
        <w:rPr>
          <w:rFonts w:hint="eastAsia" w:ascii="宋体" w:hAnsi="宋体" w:eastAsia="宋体" w:cs="宋体"/>
          <w:color w:val="000000"/>
          <w:kern w:val="2"/>
          <w:sz w:val="32"/>
          <w:szCs w:val="32"/>
          <w:lang w:val="en-US" w:eastAsia="zh-CN" w:bidi="ar"/>
        </w:rPr>
        <w:t>）</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中国•郑州</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color w:val="000000"/>
          <w:kern w:val="2"/>
          <w:sz w:val="36"/>
          <w:szCs w:val="36"/>
          <w:lang w:val="en-US" w:eastAsia="zh-CN" w:bidi="ar"/>
        </w:rPr>
      </w:pPr>
    </w:p>
    <w:p>
      <w:pPr>
        <w:keepNext w:val="0"/>
        <w:keepLines w:val="0"/>
        <w:widowControl w:val="0"/>
        <w:suppressLineNumbers w:val="0"/>
        <w:spacing w:before="0" w:beforeAutospacing="0" w:after="0" w:afterAutospacing="0"/>
        <w:ind w:left="0" w:right="0"/>
        <w:jc w:val="both"/>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实施主体：</w:t>
      </w:r>
    </w:p>
    <w:p>
      <w:pPr>
        <w:pStyle w:val="4"/>
        <w:numPr>
          <w:ilvl w:val="0"/>
          <w:numId w:val="0"/>
        </w:numPr>
        <w:spacing w:line="500" w:lineRule="exact"/>
        <w:jc w:val="both"/>
        <w:rPr>
          <w:rFonts w:hint="eastAsia" w:ascii="宋体" w:hAnsi="宋体" w:eastAsia="宋体" w:cs="宋体"/>
          <w:snapToGrid w:val="0"/>
          <w:color w:val="000000"/>
          <w:kern w:val="2"/>
          <w:sz w:val="32"/>
          <w:szCs w:val="32"/>
          <w:lang w:val="en-US" w:eastAsia="zh-CN" w:bidi="ar-SA"/>
        </w:rPr>
      </w:pPr>
      <w:r>
        <w:rPr>
          <w:rFonts w:hint="eastAsia" w:ascii="宋体" w:hAnsi="宋体" w:eastAsia="宋体" w:cs="宋体"/>
          <w:snapToGrid w:val="0"/>
          <w:color w:val="000000"/>
          <w:kern w:val="2"/>
          <w:sz w:val="32"/>
          <w:szCs w:val="32"/>
          <w:lang w:val="en-US" w:eastAsia="zh-CN" w:bidi="ar-SA"/>
        </w:rPr>
        <w:t>郑州市商务局</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适用范围：</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全市申请</w:t>
      </w:r>
      <w:r>
        <w:rPr>
          <w:rFonts w:hint="eastAsia" w:ascii="宋体" w:hAnsi="宋体" w:eastAsia="宋体" w:cs="宋体"/>
          <w:sz w:val="32"/>
          <w:szCs w:val="32"/>
        </w:rPr>
        <w:t>不涉及国家规定实施准入特别管理措施的外商投资企业设立及变更备案</w:t>
      </w:r>
      <w:r>
        <w:rPr>
          <w:rFonts w:hint="eastAsia" w:ascii="宋体" w:hAnsi="宋体" w:eastAsia="宋体" w:cs="宋体"/>
          <w:sz w:val="32"/>
          <w:szCs w:val="32"/>
          <w:lang w:eastAsia="zh-CN"/>
        </w:rPr>
        <w:t>。</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事项类别：</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其他职权</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实施依据：</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32"/>
          <w:szCs w:val="32"/>
          <w:lang w:eastAsia="zh-CN"/>
        </w:rPr>
      </w:pPr>
      <w:r>
        <w:rPr>
          <w:rFonts w:hint="eastAsia" w:ascii="宋体" w:hAnsi="宋体" w:eastAsia="宋体" w:cs="宋体"/>
          <w:sz w:val="32"/>
          <w:szCs w:val="32"/>
        </w:rPr>
        <w:t>《中华人民共和国外资企业法》（2016修订）第二十三条</w:t>
      </w:r>
      <w:r>
        <w:rPr>
          <w:rFonts w:hint="eastAsia" w:ascii="宋体" w:hAnsi="宋体" w:eastAsia="宋体" w:cs="宋体"/>
          <w:sz w:val="32"/>
          <w:szCs w:val="32"/>
          <w:lang w:eastAsia="zh-CN"/>
        </w:rPr>
        <w:t>；</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审批条件；</w:t>
      </w:r>
      <w:r>
        <w:rPr>
          <w:rFonts w:hint="eastAsia" w:ascii="宋体" w:hAnsi="宋体" w:eastAsia="宋体" w:cs="宋体"/>
          <w:sz w:val="32"/>
          <w:szCs w:val="32"/>
        </w:rPr>
        <w:t>《中华人民共和国中外合资经营企业法》（2016修订）第十五条</w:t>
      </w:r>
      <w:r>
        <w:rPr>
          <w:rFonts w:hint="eastAsia" w:ascii="宋体" w:hAnsi="宋体" w:eastAsia="宋体" w:cs="宋体"/>
          <w:sz w:val="32"/>
          <w:szCs w:val="32"/>
          <w:lang w:eastAsia="zh-CN"/>
        </w:rPr>
        <w:t>；</w:t>
      </w:r>
      <w:r>
        <w:rPr>
          <w:rFonts w:hint="eastAsia" w:ascii="宋体" w:hAnsi="宋体" w:eastAsia="宋体" w:cs="宋体"/>
          <w:sz w:val="32"/>
          <w:szCs w:val="32"/>
        </w:rPr>
        <w:t>《中华人民共和国中外合作经营企业法》（2016修订）第二十五条</w:t>
      </w:r>
      <w:r>
        <w:rPr>
          <w:rFonts w:hint="eastAsia" w:ascii="宋体" w:hAnsi="宋体" w:eastAsia="宋体" w:cs="宋体"/>
          <w:sz w:val="32"/>
          <w:szCs w:val="32"/>
          <w:lang w:eastAsia="zh-CN"/>
        </w:rPr>
        <w:t>；</w:t>
      </w:r>
      <w:r>
        <w:rPr>
          <w:rFonts w:hint="eastAsia" w:ascii="宋体" w:hAnsi="宋体" w:eastAsia="宋体" w:cs="宋体"/>
          <w:sz w:val="32"/>
          <w:szCs w:val="32"/>
        </w:rPr>
        <w:t>《中华人民共和国台湾同胞投资保护法》（2016修订）第十四条</w:t>
      </w:r>
      <w:r>
        <w:rPr>
          <w:rFonts w:hint="eastAsia" w:ascii="宋体" w:hAnsi="宋体" w:eastAsia="宋体" w:cs="宋体"/>
          <w:sz w:val="32"/>
          <w:szCs w:val="32"/>
          <w:lang w:eastAsia="zh-CN"/>
        </w:rPr>
        <w:t>；</w:t>
      </w:r>
      <w:r>
        <w:rPr>
          <w:rFonts w:hint="eastAsia" w:ascii="宋体" w:hAnsi="宋体" w:eastAsia="宋体" w:cs="宋体"/>
          <w:sz w:val="32"/>
          <w:szCs w:val="32"/>
        </w:rPr>
        <w:t>《外商投资企业设立及变更备案管理暂行办法》（商务部令2018年6号）第三条</w:t>
      </w:r>
      <w:r>
        <w:rPr>
          <w:rFonts w:hint="eastAsia" w:ascii="宋体" w:hAnsi="宋体" w:eastAsia="宋体" w:cs="宋体"/>
          <w:sz w:val="32"/>
          <w:szCs w:val="32"/>
          <w:lang w:eastAsia="zh-CN"/>
        </w:rPr>
        <w:t>。</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申请材料：</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1. 外商投资企业名称预先核准材料或外商投资企业营业执照，扫描件一份；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2.外商投资企业的全体投资者（或外商投资股份有限公司的全体发起人）或其授权代表签署的《外商投资企业设立备案申报承诺书》，扫描件一份；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3. 全体投资者（或外商投资股份有限公司董事会）或外商投资企业指定代表或者共同委托代理人的证明，包括授权委托书及被委托人的身份证明，扫描件一份；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4. 外商投资企业投资者委托他人签署相关文件的证明，包括授权委托书及被委托人的身份证明，扫描件一份；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5. 投资者的主体资格证明或自然人身份证明，扫描件一份；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6. 法定代表人自然人身份证明，扫描件一份；</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7. 外商投资企业最终实际控制人股权架构图，扫描件一份；</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承诺时限：</w:t>
      </w:r>
      <w:bookmarkStart w:id="0" w:name="_GoBack"/>
      <w:bookmarkEnd w:id="0"/>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3个工作日</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收费标准：</w:t>
      </w:r>
    </w:p>
    <w:p>
      <w:pPr>
        <w:keepNext w:val="0"/>
        <w:keepLines w:val="0"/>
        <w:widowControl w:val="0"/>
        <w:suppressLineNumbers w:val="0"/>
        <w:spacing w:before="0" w:beforeAutospacing="0" w:after="0" w:afterAutospacing="0"/>
        <w:ind w:left="0" w:right="0"/>
        <w:jc w:val="left"/>
        <w:rPr>
          <w:color w:val="000000"/>
          <w:sz w:val="32"/>
          <w:szCs w:val="32"/>
          <w:lang w:val="en-US"/>
        </w:rPr>
      </w:pPr>
      <w:r>
        <w:rPr>
          <w:rFonts w:hint="eastAsia" w:ascii="Times New Roman" w:hAnsi="Times New Roman" w:eastAsia="宋体" w:cs="宋体"/>
          <w:color w:val="000000"/>
          <w:kern w:val="2"/>
          <w:sz w:val="32"/>
          <w:szCs w:val="32"/>
          <w:lang w:val="en-US" w:eastAsia="zh-CN" w:bidi="ar"/>
        </w:rPr>
        <w:t>不收费</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咨询电话：</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67186164</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投诉电话：</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67887373</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办理地址：</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郑州市中原区中原西路与图强路交叉口路北郑州市政务服务大厅三楼建设项目和社会服务综合受理区。</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公交线路指引：</w:t>
      </w:r>
    </w:p>
    <w:p>
      <w:pPr>
        <w:keepNext w:val="0"/>
        <w:keepLines w:val="0"/>
        <w:widowControl w:val="0"/>
        <w:numPr>
          <w:ilvl w:val="0"/>
          <w:numId w:val="0"/>
        </w:numPr>
        <w:suppressLineNumbers w:val="0"/>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1.郑州火车站乘坐公交60路、210路公交，或火车站至郑州市政务服务大厅的公交专线；</w:t>
      </w:r>
    </w:p>
    <w:p>
      <w:pPr>
        <w:keepNext w:val="0"/>
        <w:keepLines w:val="0"/>
        <w:widowControl w:val="0"/>
        <w:numPr>
          <w:ilvl w:val="0"/>
          <w:numId w:val="0"/>
        </w:numPr>
        <w:suppressLineNumbers w:val="0"/>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2.地铁西流湖站乘坐至郑州市政务服务办事大厅的专线接驳车。</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结果领取方式（可选择）：</w:t>
      </w:r>
    </w:p>
    <w:p>
      <w:pPr>
        <w:keepNext w:val="0"/>
        <w:keepLines w:val="0"/>
        <w:widowControl w:val="0"/>
        <w:numPr>
          <w:ilvl w:val="0"/>
          <w:numId w:val="2"/>
        </w:numPr>
        <w:suppressLineNumbers w:val="0"/>
        <w:tabs>
          <w:tab w:val="clear" w:pos="312"/>
        </w:tabs>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至郑州市政务服务大厅三楼建设项目和社会服务综合受理区发证窗口；</w:t>
      </w:r>
    </w:p>
    <w:p>
      <w:pPr>
        <w:keepNext w:val="0"/>
        <w:keepLines w:val="0"/>
        <w:widowControl w:val="0"/>
        <w:numPr>
          <w:ilvl w:val="0"/>
          <w:numId w:val="2"/>
        </w:numPr>
        <w:suppressLineNumbers w:val="0"/>
        <w:tabs>
          <w:tab w:val="clear" w:pos="312"/>
        </w:tabs>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免费邮寄送达。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5"/>
      <w:suff w:val="nothing"/>
      <w:lvlText w:val="%1.%2　"/>
      <w:lvlJc w:val="left"/>
      <w:pPr>
        <w:ind w:left="284"/>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pPr>
        <w:ind w:left="735"/>
      </w:pPr>
      <w:rPr>
        <w:rFonts w:hint="eastAsia" w:ascii="黑体" w:hAnsi="Times New Roman" w:eastAsia="黑体" w:cs="Times New Roman"/>
        <w:b w:val="0"/>
        <w:i w:val="0"/>
        <w:sz w:val="21"/>
      </w:rPr>
    </w:lvl>
    <w:lvl w:ilvl="4" w:tentative="0">
      <w:start w:val="1"/>
      <w:numFmt w:val="decimal"/>
      <w:suff w:val="nothing"/>
      <w:lvlText w:val="%1.%2.%3.%4.%5　"/>
      <w:lvlJc w:val="left"/>
      <w:pPr>
        <w:ind w:left="1050"/>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3156623A"/>
    <w:multiLevelType w:val="singleLevel"/>
    <w:tmpl w:val="3156623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F1F10"/>
    <w:rsid w:val="240845C9"/>
    <w:rsid w:val="35564FFA"/>
    <w:rsid w:val="3BB93966"/>
    <w:rsid w:val="3CCF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snapToGrid w:val="0"/>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一级无"/>
    <w:basedOn w:val="5"/>
    <w:qFormat/>
    <w:uiPriority w:val="99"/>
    <w:pPr>
      <w:spacing w:beforeLines="0" w:afterLines="0"/>
    </w:pPr>
    <w:rPr>
      <w:rFonts w:ascii="宋体" w:eastAsia="宋体"/>
    </w:rPr>
  </w:style>
  <w:style w:type="paragraph" w:customStyle="1" w:styleId="5">
    <w:name w:val="一级条标题"/>
    <w:next w:val="6"/>
    <w:qFormat/>
    <w:uiPriority w:val="0"/>
    <w:pPr>
      <w:numPr>
        <w:ilvl w:val="1"/>
        <w:numId w:val="1"/>
      </w:numPr>
      <w:spacing w:beforeLines="50" w:afterLines="50"/>
      <w:ind w:left="735"/>
      <w:outlineLvl w:val="2"/>
    </w:pPr>
    <w:rPr>
      <w:rFonts w:ascii="黑体" w:hAnsi="Times New Roman" w:eastAsia="黑体" w:cs="Times New Roman"/>
      <w:sz w:val="21"/>
      <w:szCs w:val="21"/>
      <w:lang w:val="en-US" w:eastAsia="zh-CN" w:bidi="ar-SA"/>
    </w:rPr>
  </w:style>
  <w:style w:type="paragraph" w:customStyle="1" w:styleId="6">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2018-10-15T02:22:00Z</dcterms:created>
  <dc:creator>Administrator</dc:creator>
  <cp:lastModifiedBy>Administrator</cp:lastModifiedBy>
  <dcterms:modified xsi:type="dcterms:W3CDTF">2018-10-30T02:51:23Z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